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E5CE" w14:textId="71CB29B9" w:rsidR="00F422E3" w:rsidRDefault="004C6239" w:rsidP="004C6239">
      <w:pPr>
        <w:jc w:val="center"/>
        <w:rPr>
          <w:b/>
          <w:bCs/>
          <w:sz w:val="28"/>
          <w:szCs w:val="28"/>
        </w:rPr>
      </w:pPr>
      <w:r>
        <w:rPr>
          <w:b/>
          <w:bCs/>
          <w:noProof/>
          <w:sz w:val="28"/>
          <w:szCs w:val="28"/>
        </w:rPr>
        <w:drawing>
          <wp:inline distT="0" distB="0" distL="0" distR="0" wp14:anchorId="1A0C8EC1" wp14:editId="60A8382A">
            <wp:extent cx="1352550" cy="87836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 logo white new (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955" cy="893564"/>
                    </a:xfrm>
                    <a:prstGeom prst="rect">
                      <a:avLst/>
                    </a:prstGeom>
                  </pic:spPr>
                </pic:pic>
              </a:graphicData>
            </a:graphic>
          </wp:inline>
        </w:drawing>
      </w:r>
    </w:p>
    <w:p w14:paraId="2DB82413" w14:textId="7377F953" w:rsidR="00E41320" w:rsidRPr="00FD6CFF" w:rsidRDefault="004F3817">
      <w:pPr>
        <w:rPr>
          <w:b/>
          <w:bCs/>
          <w:sz w:val="28"/>
          <w:szCs w:val="28"/>
        </w:rPr>
      </w:pPr>
      <w:r w:rsidRPr="00FD6CFF">
        <w:rPr>
          <w:b/>
          <w:bCs/>
          <w:sz w:val="28"/>
          <w:szCs w:val="28"/>
        </w:rPr>
        <w:t>Aquaculture regulation in Scotland and the report of the Salmon Interactions Working Group</w:t>
      </w:r>
    </w:p>
    <w:p w14:paraId="5F9D8679" w14:textId="26C7F617" w:rsidR="004F3817" w:rsidRDefault="004F3817">
      <w:r>
        <w:t xml:space="preserve">Regulation of the interactions between wild and farmed salmon and sea trout is complex and involves </w:t>
      </w:r>
      <w:r w:rsidR="00764607">
        <w:t>several</w:t>
      </w:r>
      <w:r>
        <w:t xml:space="preserve"> different regulatory regimes. The purpose of this document is to set out the changes proposed by the Salmon Interactions Working Group, and to attempt to explain how </w:t>
      </w:r>
      <w:r w:rsidR="0080604C">
        <w:t>Fisheries Management Scotland</w:t>
      </w:r>
      <w:r w:rsidR="00202D66">
        <w:t xml:space="preserve"> consider that </w:t>
      </w:r>
      <w:r>
        <w:t xml:space="preserve">these </w:t>
      </w:r>
      <w:r w:rsidR="0080604C">
        <w:t xml:space="preserve">changes </w:t>
      </w:r>
      <w:r>
        <w:t>will improve the situation for wild salmon and sea trout.</w:t>
      </w:r>
    </w:p>
    <w:p w14:paraId="3A777B3E" w14:textId="77777777" w:rsidR="001044CC" w:rsidRDefault="004F3817">
      <w:r>
        <w:t xml:space="preserve">In 2018, the Scottish Parliament’s Environment, Climate Change and Land Reform Committee (ECCLR) and Rural Economy and Connectivity (REC) Committees held two inquiries into Scotland’s salmon farming industry. </w:t>
      </w:r>
      <w:r w:rsidR="00D85468">
        <w:t>In late 2018</w:t>
      </w:r>
      <w:r>
        <w:t>, the Scottish Government established a workstream to examine 12 high-level pressures and address the decline in wild Atlantic salmon. The first stage in this process was the establishment of the Salmon Interactions Working Group</w:t>
      </w:r>
      <w:r w:rsidR="00202D66">
        <w:t xml:space="preserve"> (SIWG)</w:t>
      </w:r>
      <w:r>
        <w:t xml:space="preserve">. The </w:t>
      </w:r>
      <w:r w:rsidR="00202D66">
        <w:t>SIWG</w:t>
      </w:r>
      <w:r>
        <w:t xml:space="preserve"> included representatives of Fisheries Management Scotland, conservation and industry bodies </w:t>
      </w:r>
      <w:r w:rsidR="005E2F7B">
        <w:t>and</w:t>
      </w:r>
      <w:r>
        <w:t xml:space="preserve"> regulators. It is important to </w:t>
      </w:r>
      <w:r w:rsidR="005E2F7B">
        <w:t>emphasise</w:t>
      </w:r>
      <w:r>
        <w:t xml:space="preserve"> that the SIWG report supplements, but does not supersede, the recommendations of the ECCLR and REC Committee reports. Rather it sets ou</w:t>
      </w:r>
      <w:r w:rsidR="00CE19AD">
        <w:t>t</w:t>
      </w:r>
      <w:r>
        <w:t xml:space="preserve"> </w:t>
      </w:r>
      <w:r w:rsidR="00CE19AD">
        <w:t>a framework within which</w:t>
      </w:r>
      <w:r>
        <w:t xml:space="preserve"> the recommendations of the Parliamentary inquiries </w:t>
      </w:r>
      <w:r w:rsidR="00802683">
        <w:t>should</w:t>
      </w:r>
      <w:r>
        <w:t xml:space="preserve"> be taken forward.</w:t>
      </w:r>
      <w:r w:rsidR="00562B30">
        <w:t xml:space="preserve"> </w:t>
      </w:r>
    </w:p>
    <w:p w14:paraId="1379C6AF" w14:textId="120C74FA" w:rsidR="004F3817" w:rsidRDefault="00562B30">
      <w:r>
        <w:t>The SIWG</w:t>
      </w:r>
      <w:r w:rsidR="0087309A">
        <w:t xml:space="preserve"> work occurred in parallel with another important workstream</w:t>
      </w:r>
      <w:r w:rsidR="00802683">
        <w:t xml:space="preserve"> </w:t>
      </w:r>
      <w:r w:rsidR="0087309A">
        <w:t xml:space="preserve">which is referred to in the report. </w:t>
      </w:r>
      <w:r w:rsidR="00802683">
        <w:t>A</w:t>
      </w:r>
      <w:r w:rsidR="006D5BAB">
        <w:t xml:space="preserve"> </w:t>
      </w:r>
      <w:r w:rsidR="00802683">
        <w:t>‘</w:t>
      </w:r>
      <w:r w:rsidR="006D5BAB">
        <w:t>Technical Working Group</w:t>
      </w:r>
      <w:r w:rsidR="00802683">
        <w:t>’</w:t>
      </w:r>
      <w:r w:rsidR="006D5BAB">
        <w:t xml:space="preserve"> was tasked by the Scottish Government with developing a practical framework for assessing the level of risk posed to wild salmon and sea trout, taking account of the best available scientific understanding and the precautionary principle. The technical group comprises experts from the regulators - Marine Scotland, SEPA, SNH and representatives of local authorities.</w:t>
      </w:r>
      <w:r w:rsidR="00E660F4">
        <w:t xml:space="preserve"> The output from this work will have a key role to play in the future regulatory framework and </w:t>
      </w:r>
      <w:r w:rsidR="00B54ED2">
        <w:t xml:space="preserve">will </w:t>
      </w:r>
      <w:proofErr w:type="gramStart"/>
      <w:r w:rsidR="00B54ED2">
        <w:t>take into account</w:t>
      </w:r>
      <w:proofErr w:type="gramEnd"/>
      <w:r w:rsidR="00B54ED2">
        <w:t xml:space="preserve"> the cumulative effect of management practices on existing farms and impacts on wild salmonid fish.</w:t>
      </w:r>
    </w:p>
    <w:p w14:paraId="02F06441" w14:textId="6EB5544E" w:rsidR="00242249" w:rsidRDefault="00A54EDA">
      <w:r>
        <w:t xml:space="preserve">The next stage in the process is </w:t>
      </w:r>
      <w:r w:rsidR="00355E7D">
        <w:t xml:space="preserve">for Scottish Ministers to take forward these </w:t>
      </w:r>
      <w:r w:rsidR="003A10C7">
        <w:t>recommendations</w:t>
      </w:r>
      <w:r w:rsidR="00355E7D">
        <w:t xml:space="preserve"> and deliver the reformed regul</w:t>
      </w:r>
      <w:r w:rsidR="003A10C7">
        <w:t xml:space="preserve">ation system to fully protect wild salmon and sea trout. </w:t>
      </w:r>
      <w:r w:rsidR="00242249">
        <w:t>The report’s authors have urged Ministers to implement the unanimous recommendations in their entirety.</w:t>
      </w:r>
    </w:p>
    <w:p w14:paraId="1CF137D7" w14:textId="50A3CA9B" w:rsidR="004F3817" w:rsidRDefault="004F3817">
      <w:r>
        <w:t>The table below sets out some of the key issues relating to wild-farmed interactions in Scotland, and how the SIWG considered they could be addressed.</w:t>
      </w:r>
    </w:p>
    <w:tbl>
      <w:tblPr>
        <w:tblStyle w:val="TableGrid"/>
        <w:tblW w:w="0" w:type="auto"/>
        <w:tblLook w:val="04A0" w:firstRow="1" w:lastRow="0" w:firstColumn="1" w:lastColumn="0" w:noHBand="0" w:noVBand="1"/>
      </w:tblPr>
      <w:tblGrid>
        <w:gridCol w:w="4508"/>
        <w:gridCol w:w="4508"/>
      </w:tblGrid>
      <w:tr w:rsidR="004F3817" w14:paraId="051DD0FC" w14:textId="77777777" w:rsidTr="004F3817">
        <w:tc>
          <w:tcPr>
            <w:tcW w:w="4508" w:type="dxa"/>
          </w:tcPr>
          <w:p w14:paraId="11192626" w14:textId="21276904" w:rsidR="004F3817" w:rsidRPr="0055213B" w:rsidRDefault="0055213B">
            <w:pPr>
              <w:rPr>
                <w:b/>
                <w:bCs/>
              </w:rPr>
            </w:pPr>
            <w:r>
              <w:rPr>
                <w:b/>
                <w:bCs/>
              </w:rPr>
              <w:t>Current situation</w:t>
            </w:r>
          </w:p>
        </w:tc>
        <w:tc>
          <w:tcPr>
            <w:tcW w:w="4508" w:type="dxa"/>
          </w:tcPr>
          <w:p w14:paraId="0CD93DA0" w14:textId="40F975F1" w:rsidR="004F3817" w:rsidRPr="004529B1" w:rsidRDefault="004F3817">
            <w:pPr>
              <w:rPr>
                <w:b/>
                <w:bCs/>
                <w:color w:val="1F3864" w:themeColor="accent1" w:themeShade="80"/>
              </w:rPr>
            </w:pPr>
            <w:r w:rsidRPr="004529B1">
              <w:rPr>
                <w:b/>
                <w:bCs/>
                <w:color w:val="1F3864" w:themeColor="accent1" w:themeShade="80"/>
              </w:rPr>
              <w:t>After</w:t>
            </w:r>
            <w:r w:rsidR="0055213B">
              <w:rPr>
                <w:b/>
                <w:bCs/>
                <w:color w:val="1F3864" w:themeColor="accent1" w:themeShade="80"/>
              </w:rPr>
              <w:t xml:space="preserve"> implementation of SIWG recommendations</w:t>
            </w:r>
          </w:p>
        </w:tc>
      </w:tr>
      <w:tr w:rsidR="00F515E0" w14:paraId="0DD31C67" w14:textId="77777777" w:rsidTr="004F3817">
        <w:tc>
          <w:tcPr>
            <w:tcW w:w="4508" w:type="dxa"/>
          </w:tcPr>
          <w:p w14:paraId="152DF48B" w14:textId="2A7F4CB7" w:rsidR="00F515E0" w:rsidRDefault="00F515E0" w:rsidP="00AF62C0">
            <w:r>
              <w:t>The regulatory regime is complex, disjointed and fails to protect wild salmon and sea trout.</w:t>
            </w:r>
          </w:p>
        </w:tc>
        <w:tc>
          <w:tcPr>
            <w:tcW w:w="4508" w:type="dxa"/>
          </w:tcPr>
          <w:p w14:paraId="3B933D1B" w14:textId="36CD8BEF" w:rsidR="001969B9" w:rsidRDefault="008B500A" w:rsidP="00AF62C0">
            <w:pPr>
              <w:rPr>
                <w:color w:val="1F3864" w:themeColor="accent1" w:themeShade="80"/>
              </w:rPr>
            </w:pPr>
            <w:r>
              <w:rPr>
                <w:color w:val="1F3864" w:themeColor="accent1" w:themeShade="80"/>
              </w:rPr>
              <w:t>The SIWG</w:t>
            </w:r>
            <w:r w:rsidR="001969B9">
              <w:rPr>
                <w:color w:val="1F3864" w:themeColor="accent1" w:themeShade="80"/>
              </w:rPr>
              <w:t xml:space="preserve"> recognised the current failings of the regulatory system and agreed that the following principles should underpin the reformed regulatory regime:</w:t>
            </w:r>
          </w:p>
          <w:p w14:paraId="63C34799" w14:textId="14DBD326" w:rsidR="00F515E0" w:rsidRDefault="00EB2AA1" w:rsidP="00EB2AA1">
            <w:pPr>
              <w:pStyle w:val="ListParagraph"/>
              <w:numPr>
                <w:ilvl w:val="0"/>
                <w:numId w:val="1"/>
              </w:numPr>
              <w:ind w:left="343" w:hanging="284"/>
              <w:rPr>
                <w:color w:val="1F3864" w:themeColor="accent1" w:themeShade="80"/>
              </w:rPr>
            </w:pPr>
            <w:r w:rsidRPr="00EB2AA1">
              <w:rPr>
                <w:color w:val="1F3864" w:themeColor="accent1" w:themeShade="80"/>
              </w:rPr>
              <w:t>It should be</w:t>
            </w:r>
            <w:r w:rsidR="00F515E0" w:rsidRPr="00EB2AA1">
              <w:rPr>
                <w:color w:val="1F3864" w:themeColor="accent1" w:themeShade="80"/>
              </w:rPr>
              <w:t xml:space="preserve"> comparable with the highest international and domestic regulatory standards. </w:t>
            </w:r>
          </w:p>
          <w:p w14:paraId="5040248E" w14:textId="2F00D8C1" w:rsidR="00EB2AA1" w:rsidRDefault="00EB2AA1" w:rsidP="00EB2AA1">
            <w:pPr>
              <w:pStyle w:val="ListParagraph"/>
              <w:numPr>
                <w:ilvl w:val="0"/>
                <w:numId w:val="1"/>
              </w:numPr>
              <w:ind w:left="343" w:hanging="284"/>
              <w:rPr>
                <w:color w:val="1F3864" w:themeColor="accent1" w:themeShade="80"/>
              </w:rPr>
            </w:pPr>
            <w:r>
              <w:rPr>
                <w:color w:val="1F3864" w:themeColor="accent1" w:themeShade="80"/>
              </w:rPr>
              <w:t>It should</w:t>
            </w:r>
            <w:r w:rsidR="002255CD">
              <w:rPr>
                <w:color w:val="1F3864" w:themeColor="accent1" w:themeShade="80"/>
              </w:rPr>
              <w:t xml:space="preserve"> protect wild migratory salmonids</w:t>
            </w:r>
          </w:p>
          <w:p w14:paraId="4E882644" w14:textId="534DD249" w:rsidR="002255CD" w:rsidRDefault="002255CD" w:rsidP="00EB2AA1">
            <w:pPr>
              <w:pStyle w:val="ListParagraph"/>
              <w:numPr>
                <w:ilvl w:val="0"/>
                <w:numId w:val="1"/>
              </w:numPr>
              <w:ind w:left="343" w:hanging="284"/>
              <w:rPr>
                <w:color w:val="1F3864" w:themeColor="accent1" w:themeShade="80"/>
              </w:rPr>
            </w:pPr>
            <w:r>
              <w:rPr>
                <w:color w:val="1F3864" w:themeColor="accent1" w:themeShade="80"/>
              </w:rPr>
              <w:lastRenderedPageBreak/>
              <w:t xml:space="preserve">It should </w:t>
            </w:r>
            <w:r w:rsidR="000F3AEF">
              <w:rPr>
                <w:color w:val="1F3864" w:themeColor="accent1" w:themeShade="80"/>
              </w:rPr>
              <w:t>proactively seek to</w:t>
            </w:r>
            <w:r w:rsidR="003C295F">
              <w:rPr>
                <w:color w:val="1F3864" w:themeColor="accent1" w:themeShade="80"/>
              </w:rPr>
              <w:t xml:space="preserve"> address negative impacts</w:t>
            </w:r>
            <w:r w:rsidR="008B7C3E">
              <w:rPr>
                <w:color w:val="1F3864" w:themeColor="accent1" w:themeShade="80"/>
              </w:rPr>
              <w:t xml:space="preserve"> detected through monitoring</w:t>
            </w:r>
          </w:p>
          <w:p w14:paraId="0321E95C" w14:textId="77777777" w:rsidR="002149C8" w:rsidRDefault="002149C8" w:rsidP="00AF62C0">
            <w:pPr>
              <w:pStyle w:val="ListParagraph"/>
              <w:numPr>
                <w:ilvl w:val="0"/>
                <w:numId w:val="1"/>
              </w:numPr>
              <w:ind w:left="343" w:hanging="284"/>
              <w:rPr>
                <w:color w:val="1F3864" w:themeColor="accent1" w:themeShade="80"/>
              </w:rPr>
            </w:pPr>
            <w:r w:rsidRPr="002149C8">
              <w:rPr>
                <w:color w:val="1F3864" w:themeColor="accent1" w:themeShade="80"/>
              </w:rPr>
              <w:t xml:space="preserve">It should be </w:t>
            </w:r>
            <w:r w:rsidR="00F515E0" w:rsidRPr="002149C8">
              <w:rPr>
                <w:color w:val="1F3864" w:themeColor="accent1" w:themeShade="80"/>
              </w:rPr>
              <w:t>robust, transparent,</w:t>
            </w:r>
            <w:r>
              <w:rPr>
                <w:color w:val="1F3864" w:themeColor="accent1" w:themeShade="80"/>
              </w:rPr>
              <w:t xml:space="preserve"> </w:t>
            </w:r>
            <w:proofErr w:type="gramStart"/>
            <w:r w:rsidR="00F515E0" w:rsidRPr="002149C8">
              <w:rPr>
                <w:color w:val="1F3864" w:themeColor="accent1" w:themeShade="80"/>
              </w:rPr>
              <w:t>enforceable</w:t>
            </w:r>
            <w:proofErr w:type="gramEnd"/>
            <w:r w:rsidR="00F515E0" w:rsidRPr="002149C8">
              <w:rPr>
                <w:color w:val="1F3864" w:themeColor="accent1" w:themeShade="80"/>
              </w:rPr>
              <w:t xml:space="preserve"> and enforced.</w:t>
            </w:r>
          </w:p>
          <w:p w14:paraId="10382283" w14:textId="3848ED68" w:rsidR="00581275" w:rsidRDefault="00FD6CFF" w:rsidP="00AF62C0">
            <w:pPr>
              <w:pStyle w:val="ListParagraph"/>
              <w:numPr>
                <w:ilvl w:val="0"/>
                <w:numId w:val="1"/>
              </w:numPr>
              <w:ind w:left="343" w:hanging="284"/>
              <w:rPr>
                <w:color w:val="1F3864" w:themeColor="accent1" w:themeShade="80"/>
              </w:rPr>
            </w:pPr>
            <w:r w:rsidRPr="002149C8">
              <w:rPr>
                <w:color w:val="1F3864" w:themeColor="accent1" w:themeShade="80"/>
              </w:rPr>
              <w:t xml:space="preserve">An enforcement policy </w:t>
            </w:r>
            <w:r w:rsidR="002313BE">
              <w:rPr>
                <w:color w:val="1F3864" w:themeColor="accent1" w:themeShade="80"/>
              </w:rPr>
              <w:t>should</w:t>
            </w:r>
            <w:r w:rsidRPr="002149C8">
              <w:rPr>
                <w:color w:val="1F3864" w:themeColor="accent1" w:themeShade="80"/>
              </w:rPr>
              <w:t xml:space="preserve"> be published, </w:t>
            </w:r>
            <w:r w:rsidR="00581275">
              <w:rPr>
                <w:color w:val="1F3864" w:themeColor="accent1" w:themeShade="80"/>
              </w:rPr>
              <w:t>including</w:t>
            </w:r>
            <w:r w:rsidRPr="002149C8">
              <w:rPr>
                <w:color w:val="1F3864" w:themeColor="accent1" w:themeShade="80"/>
              </w:rPr>
              <w:t xml:space="preserve"> specific penalties and sanctions for breaching conditions.</w:t>
            </w:r>
          </w:p>
          <w:p w14:paraId="60C87895" w14:textId="1DE5F44A" w:rsidR="00797D75" w:rsidRDefault="008811FE" w:rsidP="00AF62C0">
            <w:pPr>
              <w:pStyle w:val="ListParagraph"/>
              <w:numPr>
                <w:ilvl w:val="0"/>
                <w:numId w:val="1"/>
              </w:numPr>
              <w:ind w:left="343" w:hanging="284"/>
              <w:rPr>
                <w:color w:val="1F3864" w:themeColor="accent1" w:themeShade="80"/>
              </w:rPr>
            </w:pPr>
            <w:r>
              <w:rPr>
                <w:color w:val="1F3864" w:themeColor="accent1" w:themeShade="80"/>
              </w:rPr>
              <w:t xml:space="preserve">Fines </w:t>
            </w:r>
            <w:r w:rsidRPr="009B6813">
              <w:rPr>
                <w:color w:val="1F3864" w:themeColor="accent1" w:themeShade="80"/>
              </w:rPr>
              <w:t xml:space="preserve">relating to sea lice and </w:t>
            </w:r>
            <w:r w:rsidRPr="00276C50">
              <w:rPr>
                <w:color w:val="1F3864" w:themeColor="accent1" w:themeShade="80"/>
              </w:rPr>
              <w:t>escapes to be invested into wild salmonid conservation work, in line with the polluter pays principle.</w:t>
            </w:r>
          </w:p>
          <w:p w14:paraId="1F0B4141" w14:textId="07C4492E" w:rsidR="00FD6CFF" w:rsidRPr="00581275" w:rsidRDefault="00FD6CFF" w:rsidP="00AF62C0">
            <w:pPr>
              <w:pStyle w:val="ListParagraph"/>
              <w:numPr>
                <w:ilvl w:val="0"/>
                <w:numId w:val="1"/>
              </w:numPr>
              <w:ind w:left="343" w:hanging="284"/>
              <w:rPr>
                <w:color w:val="1F3864" w:themeColor="accent1" w:themeShade="80"/>
              </w:rPr>
            </w:pPr>
            <w:r w:rsidRPr="00581275">
              <w:rPr>
                <w:color w:val="1F3864" w:themeColor="accent1" w:themeShade="80"/>
              </w:rPr>
              <w:t xml:space="preserve">Scottish Ministers should direct all relevant statutory bodies to discharge their duties such that they fully </w:t>
            </w:r>
            <w:proofErr w:type="gramStart"/>
            <w:r w:rsidRPr="00581275">
              <w:rPr>
                <w:color w:val="1F3864" w:themeColor="accent1" w:themeShade="80"/>
              </w:rPr>
              <w:t>take into account</w:t>
            </w:r>
            <w:proofErr w:type="gramEnd"/>
            <w:r w:rsidRPr="00581275">
              <w:rPr>
                <w:color w:val="1F3864" w:themeColor="accent1" w:themeShade="80"/>
              </w:rPr>
              <w:t xml:space="preserve"> the health and welfare of wild salmonids and of farmed fish</w:t>
            </w:r>
          </w:p>
        </w:tc>
      </w:tr>
      <w:tr w:rsidR="00AF62C0" w14:paraId="51D5AA15" w14:textId="77777777" w:rsidTr="004F3817">
        <w:tc>
          <w:tcPr>
            <w:tcW w:w="4508" w:type="dxa"/>
          </w:tcPr>
          <w:p w14:paraId="76CFBC7F" w14:textId="4AE0C129" w:rsidR="00AF62C0" w:rsidRDefault="00AF62C0" w:rsidP="00AF62C0">
            <w:r>
              <w:lastRenderedPageBreak/>
              <w:t xml:space="preserve">Protection of wild fish is considered as part of the </w:t>
            </w:r>
            <w:r w:rsidR="003907E3">
              <w:t xml:space="preserve">local authority </w:t>
            </w:r>
            <w:r>
              <w:t xml:space="preserve">planning process, but once permanent planning </w:t>
            </w:r>
            <w:r w:rsidR="00C50D31">
              <w:t>permissio</w:t>
            </w:r>
            <w:r>
              <w:t>n is granted, local authorities do not have the resources, or expertise to adequately ensure that wild fish are protected.</w:t>
            </w:r>
          </w:p>
          <w:p w14:paraId="07C15385" w14:textId="77777777" w:rsidR="00F515E0" w:rsidRDefault="00F515E0" w:rsidP="00AF62C0"/>
          <w:p w14:paraId="1A7F497A" w14:textId="69EB8BCA" w:rsidR="00AF62C0" w:rsidRDefault="00AF62C0" w:rsidP="00AF62C0">
            <w:r>
              <w:t xml:space="preserve">The Marine Scotland Fish Health Inspectorate are responsible for the health and welfare of farmed </w:t>
            </w:r>
            <w:r w:rsidR="00FD6CFF">
              <w:t>fish but</w:t>
            </w:r>
            <w:r>
              <w:t xml:space="preserve"> impacts on wild fish are out with their remit.</w:t>
            </w:r>
          </w:p>
          <w:p w14:paraId="0B506D2E" w14:textId="77777777" w:rsidR="00F515E0" w:rsidRDefault="00F515E0" w:rsidP="00AF62C0"/>
          <w:p w14:paraId="6B3633E2" w14:textId="77777777" w:rsidR="00AF62C0" w:rsidRDefault="00AF62C0" w:rsidP="00AF62C0">
            <w:r>
              <w:t>SEPA are responsible for consenting the size of farms and the use of chemical sea lice treatments, but do not consider impacts on wild fish when making these determinations.</w:t>
            </w:r>
          </w:p>
          <w:p w14:paraId="2D2B9FD0" w14:textId="77777777" w:rsidR="00F271F7" w:rsidRDefault="00F271F7" w:rsidP="00AF62C0"/>
          <w:p w14:paraId="37C69260" w14:textId="6DBFFFD9" w:rsidR="00F271F7" w:rsidRDefault="00F271F7" w:rsidP="00AF62C0">
            <w:r>
              <w:t>There is therefore no single body with responsibility for wild and farmed fish interactions.</w:t>
            </w:r>
          </w:p>
        </w:tc>
        <w:tc>
          <w:tcPr>
            <w:tcW w:w="4508" w:type="dxa"/>
          </w:tcPr>
          <w:p w14:paraId="05D54E5D" w14:textId="7BD35FFB" w:rsidR="00F515E0" w:rsidRPr="004529B1" w:rsidRDefault="00F515E0" w:rsidP="00AF62C0">
            <w:pPr>
              <w:rPr>
                <w:color w:val="1F3864" w:themeColor="accent1" w:themeShade="80"/>
              </w:rPr>
            </w:pPr>
            <w:r w:rsidRPr="004529B1">
              <w:rPr>
                <w:color w:val="1F3864" w:themeColor="accent1" w:themeShade="80"/>
              </w:rPr>
              <w:t>A single lead body</w:t>
            </w:r>
            <w:r w:rsidR="00F1139D">
              <w:rPr>
                <w:color w:val="1F3864" w:themeColor="accent1" w:themeShade="80"/>
              </w:rPr>
              <w:t>, with appropriate powers for monitoring and enforcement,</w:t>
            </w:r>
            <w:r w:rsidRPr="004529B1">
              <w:rPr>
                <w:color w:val="1F3864" w:themeColor="accent1" w:themeShade="80"/>
              </w:rPr>
              <w:t xml:space="preserve"> </w:t>
            </w:r>
            <w:r w:rsidR="0098780A">
              <w:rPr>
                <w:color w:val="1F3864" w:themeColor="accent1" w:themeShade="80"/>
              </w:rPr>
              <w:t>will</w:t>
            </w:r>
            <w:r w:rsidRPr="004529B1">
              <w:rPr>
                <w:color w:val="1F3864" w:themeColor="accent1" w:themeShade="80"/>
              </w:rPr>
              <w:t xml:space="preserve"> be </w:t>
            </w:r>
            <w:r w:rsidR="00C751B6">
              <w:rPr>
                <w:color w:val="1F3864" w:themeColor="accent1" w:themeShade="80"/>
              </w:rPr>
              <w:t>responsible</w:t>
            </w:r>
            <w:r w:rsidRPr="004529B1">
              <w:rPr>
                <w:color w:val="1F3864" w:themeColor="accent1" w:themeShade="80"/>
              </w:rPr>
              <w:t xml:space="preserve"> for regulating wild and farmed fish interactions</w:t>
            </w:r>
            <w:r w:rsidR="00F271F7">
              <w:rPr>
                <w:color w:val="1F3864" w:themeColor="accent1" w:themeShade="80"/>
              </w:rPr>
              <w:t>.</w:t>
            </w:r>
          </w:p>
          <w:p w14:paraId="15A29265" w14:textId="77777777" w:rsidR="00F515E0" w:rsidRPr="004529B1" w:rsidRDefault="00F515E0" w:rsidP="00AF62C0">
            <w:pPr>
              <w:rPr>
                <w:color w:val="1F3864" w:themeColor="accent1" w:themeShade="80"/>
              </w:rPr>
            </w:pPr>
          </w:p>
          <w:p w14:paraId="1813F7FE" w14:textId="0CC448FA" w:rsidR="006626A4" w:rsidRDefault="00AF62C0" w:rsidP="00AF62C0">
            <w:pPr>
              <w:rPr>
                <w:color w:val="1F3864" w:themeColor="accent1" w:themeShade="80"/>
              </w:rPr>
            </w:pPr>
            <w:r w:rsidRPr="004529B1">
              <w:rPr>
                <w:color w:val="1F3864" w:themeColor="accent1" w:themeShade="80"/>
              </w:rPr>
              <w:t xml:space="preserve">Strengthened licence conditions and associated enforcement measures </w:t>
            </w:r>
            <w:r w:rsidR="000155BA" w:rsidRPr="004529B1">
              <w:rPr>
                <w:color w:val="1F3864" w:themeColor="accent1" w:themeShade="80"/>
              </w:rPr>
              <w:t xml:space="preserve">will </w:t>
            </w:r>
            <w:r w:rsidRPr="004529B1">
              <w:rPr>
                <w:color w:val="1F3864" w:themeColor="accent1" w:themeShade="80"/>
              </w:rPr>
              <w:t xml:space="preserve">deliver essential regulatory protection </w:t>
            </w:r>
            <w:r w:rsidR="0098780A">
              <w:rPr>
                <w:color w:val="1F3864" w:themeColor="accent1" w:themeShade="80"/>
              </w:rPr>
              <w:t>for</w:t>
            </w:r>
            <w:r w:rsidRPr="004529B1">
              <w:rPr>
                <w:color w:val="1F3864" w:themeColor="accent1" w:themeShade="80"/>
              </w:rPr>
              <w:t xml:space="preserve"> wild salmonids. </w:t>
            </w:r>
          </w:p>
          <w:p w14:paraId="72F92467" w14:textId="77777777" w:rsidR="006626A4" w:rsidRDefault="006626A4" w:rsidP="00AF62C0">
            <w:pPr>
              <w:rPr>
                <w:color w:val="1F3864" w:themeColor="accent1" w:themeShade="80"/>
              </w:rPr>
            </w:pPr>
          </w:p>
          <w:p w14:paraId="25E1E74A" w14:textId="57F1690E" w:rsidR="00212917" w:rsidRDefault="003D66B3" w:rsidP="00AF62C0">
            <w:pPr>
              <w:rPr>
                <w:color w:val="1F3864" w:themeColor="accent1" w:themeShade="80"/>
              </w:rPr>
            </w:pPr>
            <w:r>
              <w:rPr>
                <w:color w:val="1F3864" w:themeColor="accent1" w:themeShade="80"/>
              </w:rPr>
              <w:t>Protection of wild salmonids will no longer sit within the planning process</w:t>
            </w:r>
            <w:r w:rsidR="00AF62C0" w:rsidRPr="004529B1">
              <w:rPr>
                <w:color w:val="1F3864" w:themeColor="accent1" w:themeShade="80"/>
              </w:rPr>
              <w:t xml:space="preserve">. </w:t>
            </w:r>
          </w:p>
          <w:p w14:paraId="5EFF7E67" w14:textId="77777777" w:rsidR="00212917" w:rsidRDefault="00212917" w:rsidP="00AF62C0">
            <w:pPr>
              <w:rPr>
                <w:color w:val="1F3864" w:themeColor="accent1" w:themeShade="80"/>
              </w:rPr>
            </w:pPr>
          </w:p>
          <w:p w14:paraId="57EA47E9" w14:textId="28CA0551" w:rsidR="00AF62C0" w:rsidRPr="004529B1" w:rsidRDefault="00383B3A" w:rsidP="00AF62C0">
            <w:pPr>
              <w:rPr>
                <w:color w:val="1F3864" w:themeColor="accent1" w:themeShade="80"/>
              </w:rPr>
            </w:pPr>
            <w:r>
              <w:rPr>
                <w:color w:val="1F3864" w:themeColor="accent1" w:themeShade="80"/>
              </w:rPr>
              <w:t>Such l</w:t>
            </w:r>
            <w:r w:rsidR="00AF62C0" w:rsidRPr="004529B1">
              <w:rPr>
                <w:color w:val="1F3864" w:themeColor="accent1" w:themeShade="80"/>
              </w:rPr>
              <w:t>icences can be reviewed or revoked and failure to comply with a licence condition is subject to enforcement action.</w:t>
            </w:r>
          </w:p>
        </w:tc>
      </w:tr>
      <w:tr w:rsidR="00AF62C0" w14:paraId="62CECDEC" w14:textId="77777777" w:rsidTr="004F3817">
        <w:tc>
          <w:tcPr>
            <w:tcW w:w="4508" w:type="dxa"/>
          </w:tcPr>
          <w:p w14:paraId="49F61F8C" w14:textId="75C9CE0D" w:rsidR="00AF62C0" w:rsidRDefault="00AF62C0" w:rsidP="00AF62C0">
            <w:r>
              <w:t>Local authorities have attempted to address the concerns set out above by including Environmental Management Plans</w:t>
            </w:r>
            <w:r w:rsidR="00557A4C">
              <w:t xml:space="preserve"> (EMPs)</w:t>
            </w:r>
            <w:r>
              <w:t>, as a condition of planning. These require operators, for example, to monitor for impacts on wild fish. However, this approach is inconsistent, applies only to new farms, and local authorities do not have appropriate enforcement powers.</w:t>
            </w:r>
          </w:p>
        </w:tc>
        <w:tc>
          <w:tcPr>
            <w:tcW w:w="4508" w:type="dxa"/>
          </w:tcPr>
          <w:p w14:paraId="0C44084D" w14:textId="67969B9B" w:rsidR="00D57330" w:rsidRDefault="00AF62C0" w:rsidP="00AF62C0">
            <w:pPr>
              <w:rPr>
                <w:color w:val="1F3864" w:themeColor="accent1" w:themeShade="80"/>
              </w:rPr>
            </w:pPr>
            <w:r w:rsidRPr="004529B1">
              <w:rPr>
                <w:color w:val="1F3864" w:themeColor="accent1" w:themeShade="80"/>
              </w:rPr>
              <w:t>Licence</w:t>
            </w:r>
            <w:r w:rsidR="006F245E">
              <w:rPr>
                <w:color w:val="1F3864" w:themeColor="accent1" w:themeShade="80"/>
              </w:rPr>
              <w:t>s</w:t>
            </w:r>
            <w:r w:rsidRPr="004529B1">
              <w:rPr>
                <w:color w:val="1F3864" w:themeColor="accent1" w:themeShade="80"/>
              </w:rPr>
              <w:t xml:space="preserve"> </w:t>
            </w:r>
            <w:r w:rsidR="009768E6">
              <w:rPr>
                <w:color w:val="1F3864" w:themeColor="accent1" w:themeShade="80"/>
              </w:rPr>
              <w:t>will</w:t>
            </w:r>
            <w:r w:rsidRPr="004529B1">
              <w:rPr>
                <w:color w:val="1F3864" w:themeColor="accent1" w:themeShade="80"/>
              </w:rPr>
              <w:t xml:space="preserve"> include </w:t>
            </w:r>
            <w:r w:rsidR="006F245E" w:rsidRPr="004529B1">
              <w:rPr>
                <w:color w:val="1F3864" w:themeColor="accent1" w:themeShade="80"/>
              </w:rPr>
              <w:t xml:space="preserve">conditions </w:t>
            </w:r>
            <w:r w:rsidR="00D57330">
              <w:rPr>
                <w:color w:val="1F3864" w:themeColor="accent1" w:themeShade="80"/>
              </w:rPr>
              <w:t>to protect wild fish including:</w:t>
            </w:r>
          </w:p>
          <w:p w14:paraId="5CC7F48F" w14:textId="77777777" w:rsidR="000D37BD" w:rsidRDefault="00D57330" w:rsidP="00D57330">
            <w:pPr>
              <w:pStyle w:val="ListParagraph"/>
              <w:numPr>
                <w:ilvl w:val="0"/>
                <w:numId w:val="2"/>
              </w:numPr>
              <w:ind w:left="343" w:hanging="284"/>
              <w:rPr>
                <w:color w:val="1F3864" w:themeColor="accent1" w:themeShade="80"/>
              </w:rPr>
            </w:pPr>
            <w:r>
              <w:rPr>
                <w:color w:val="1F3864" w:themeColor="accent1" w:themeShade="80"/>
              </w:rPr>
              <w:t xml:space="preserve">A </w:t>
            </w:r>
            <w:r w:rsidR="00AF62C0" w:rsidRPr="00D57330">
              <w:rPr>
                <w:color w:val="1F3864" w:themeColor="accent1" w:themeShade="80"/>
              </w:rPr>
              <w:t>requirement to monitor lice levels in the environment</w:t>
            </w:r>
            <w:r w:rsidR="000D37BD">
              <w:rPr>
                <w:color w:val="1F3864" w:themeColor="accent1" w:themeShade="80"/>
              </w:rPr>
              <w:t xml:space="preserve"> and</w:t>
            </w:r>
            <w:r w:rsidR="00AF62C0" w:rsidRPr="00D57330">
              <w:rPr>
                <w:color w:val="1F3864" w:themeColor="accent1" w:themeShade="80"/>
              </w:rPr>
              <w:t xml:space="preserve"> assess </w:t>
            </w:r>
            <w:r w:rsidR="000D37BD">
              <w:rPr>
                <w:color w:val="1F3864" w:themeColor="accent1" w:themeShade="80"/>
              </w:rPr>
              <w:t xml:space="preserve">any </w:t>
            </w:r>
            <w:r w:rsidR="00AF62C0" w:rsidRPr="00D57330">
              <w:rPr>
                <w:color w:val="1F3864" w:themeColor="accent1" w:themeShade="80"/>
              </w:rPr>
              <w:t>impacts on wild salmonids</w:t>
            </w:r>
          </w:p>
          <w:p w14:paraId="2160ADE7" w14:textId="77777777" w:rsidR="000D37BD" w:rsidRDefault="000D37BD" w:rsidP="00D57330">
            <w:pPr>
              <w:pStyle w:val="ListParagraph"/>
              <w:numPr>
                <w:ilvl w:val="0"/>
                <w:numId w:val="2"/>
              </w:numPr>
              <w:ind w:left="343" w:hanging="284"/>
              <w:rPr>
                <w:color w:val="1F3864" w:themeColor="accent1" w:themeShade="80"/>
              </w:rPr>
            </w:pPr>
            <w:r>
              <w:rPr>
                <w:color w:val="1F3864" w:themeColor="accent1" w:themeShade="80"/>
              </w:rPr>
              <w:t>A requirement to</w:t>
            </w:r>
            <w:r w:rsidR="00AF62C0" w:rsidRPr="00D57330">
              <w:rPr>
                <w:color w:val="1F3864" w:themeColor="accent1" w:themeShade="80"/>
              </w:rPr>
              <w:t xml:space="preserve"> report on the results of such monitoring. </w:t>
            </w:r>
          </w:p>
          <w:p w14:paraId="1E3E87DF" w14:textId="5BD77B7C" w:rsidR="00AF62C0" w:rsidRPr="000D37BD" w:rsidRDefault="000D37BD" w:rsidP="00AF62C0">
            <w:pPr>
              <w:pStyle w:val="ListParagraph"/>
              <w:numPr>
                <w:ilvl w:val="0"/>
                <w:numId w:val="2"/>
              </w:numPr>
              <w:ind w:left="343" w:hanging="284"/>
              <w:rPr>
                <w:color w:val="1F3864" w:themeColor="accent1" w:themeShade="80"/>
              </w:rPr>
            </w:pPr>
            <w:r>
              <w:rPr>
                <w:color w:val="1F3864" w:themeColor="accent1" w:themeShade="80"/>
              </w:rPr>
              <w:t xml:space="preserve">The actions required to be taken </w:t>
            </w:r>
            <w:r w:rsidR="00AF62C0" w:rsidRPr="00D57330">
              <w:rPr>
                <w:color w:val="1F3864" w:themeColor="accent1" w:themeShade="80"/>
              </w:rPr>
              <w:t>where monitoring demonstrates</w:t>
            </w:r>
            <w:r>
              <w:rPr>
                <w:color w:val="1F3864" w:themeColor="accent1" w:themeShade="80"/>
              </w:rPr>
              <w:t xml:space="preserve"> </w:t>
            </w:r>
            <w:r w:rsidR="00AF62C0" w:rsidRPr="000D37BD">
              <w:rPr>
                <w:color w:val="1F3864" w:themeColor="accent1" w:themeShade="80"/>
              </w:rPr>
              <w:t xml:space="preserve">adverse impacts on wild salmonids. </w:t>
            </w:r>
          </w:p>
          <w:p w14:paraId="75AA0B7C" w14:textId="77777777" w:rsidR="00F515E0" w:rsidRPr="004529B1" w:rsidRDefault="00F515E0" w:rsidP="00AF62C0">
            <w:pPr>
              <w:rPr>
                <w:color w:val="1F3864" w:themeColor="accent1" w:themeShade="80"/>
              </w:rPr>
            </w:pPr>
          </w:p>
          <w:p w14:paraId="02250F76" w14:textId="0C030A88" w:rsidR="00F515E0" w:rsidRPr="004529B1" w:rsidRDefault="00557A4C" w:rsidP="00AF62C0">
            <w:pPr>
              <w:rPr>
                <w:color w:val="1F3864" w:themeColor="accent1" w:themeShade="80"/>
              </w:rPr>
            </w:pPr>
            <w:r>
              <w:rPr>
                <w:color w:val="1F3864" w:themeColor="accent1" w:themeShade="80"/>
              </w:rPr>
              <w:t>Unlike EMPs, t</w:t>
            </w:r>
            <w:r w:rsidR="00F515E0" w:rsidRPr="004529B1">
              <w:rPr>
                <w:color w:val="1F3864" w:themeColor="accent1" w:themeShade="80"/>
              </w:rPr>
              <w:t>hese licen</w:t>
            </w:r>
            <w:r w:rsidR="001176BA">
              <w:rPr>
                <w:color w:val="1F3864" w:themeColor="accent1" w:themeShade="80"/>
              </w:rPr>
              <w:t>c</w:t>
            </w:r>
            <w:r w:rsidR="00F515E0" w:rsidRPr="004529B1">
              <w:rPr>
                <w:color w:val="1F3864" w:themeColor="accent1" w:themeShade="80"/>
              </w:rPr>
              <w:t xml:space="preserve">e conditions will apply to </w:t>
            </w:r>
            <w:r w:rsidR="00F515E0" w:rsidRPr="00AA4BDB">
              <w:rPr>
                <w:b/>
                <w:bCs/>
                <w:color w:val="1F3864" w:themeColor="accent1" w:themeShade="80"/>
              </w:rPr>
              <w:t>all</w:t>
            </w:r>
            <w:r w:rsidR="00F515E0" w:rsidRPr="004529B1">
              <w:rPr>
                <w:color w:val="1F3864" w:themeColor="accent1" w:themeShade="80"/>
              </w:rPr>
              <w:t xml:space="preserve"> farms, not just new farms or farms which wish to increase in size.</w:t>
            </w:r>
          </w:p>
        </w:tc>
      </w:tr>
      <w:tr w:rsidR="00F515E0" w14:paraId="021D93AD" w14:textId="77777777" w:rsidTr="004F3817">
        <w:tc>
          <w:tcPr>
            <w:tcW w:w="4508" w:type="dxa"/>
          </w:tcPr>
          <w:p w14:paraId="028165D8" w14:textId="3181E805" w:rsidR="00F515E0" w:rsidRDefault="00F515E0" w:rsidP="00AF62C0">
            <w:r>
              <w:lastRenderedPageBreak/>
              <w:t xml:space="preserve">Planning permission is </w:t>
            </w:r>
            <w:r w:rsidR="00B910DC">
              <w:t>permanent,</w:t>
            </w:r>
            <w:r>
              <w:t xml:space="preserve"> and relocation of farms has been almost impossible.</w:t>
            </w:r>
          </w:p>
        </w:tc>
        <w:tc>
          <w:tcPr>
            <w:tcW w:w="4508" w:type="dxa"/>
          </w:tcPr>
          <w:p w14:paraId="392CAE0A" w14:textId="68241D60" w:rsidR="00F515E0" w:rsidRPr="004529B1" w:rsidRDefault="001B58B2" w:rsidP="00AF62C0">
            <w:pPr>
              <w:rPr>
                <w:color w:val="1F3864" w:themeColor="accent1" w:themeShade="80"/>
              </w:rPr>
            </w:pPr>
            <w:r>
              <w:rPr>
                <w:color w:val="1F3864" w:themeColor="accent1" w:themeShade="80"/>
              </w:rPr>
              <w:t xml:space="preserve">The </w:t>
            </w:r>
            <w:r w:rsidR="00F515E0" w:rsidRPr="004529B1">
              <w:rPr>
                <w:color w:val="1F3864" w:themeColor="accent1" w:themeShade="80"/>
              </w:rPr>
              <w:t xml:space="preserve">consenting regime </w:t>
            </w:r>
            <w:r w:rsidR="00572531">
              <w:rPr>
                <w:color w:val="1F3864" w:themeColor="accent1" w:themeShade="80"/>
              </w:rPr>
              <w:t>will</w:t>
            </w:r>
            <w:r w:rsidR="00F515E0" w:rsidRPr="004529B1">
              <w:rPr>
                <w:color w:val="1F3864" w:themeColor="accent1" w:themeShade="80"/>
              </w:rPr>
              <w:t xml:space="preserve"> enable efficient relocation of existing biomass to a suitable alternative location.</w:t>
            </w:r>
            <w:r w:rsidR="00D858EA">
              <w:rPr>
                <w:color w:val="1F3864" w:themeColor="accent1" w:themeShade="80"/>
              </w:rPr>
              <w:t xml:space="preserve"> </w:t>
            </w:r>
          </w:p>
        </w:tc>
      </w:tr>
      <w:tr w:rsidR="00F515E0" w14:paraId="216CCD00" w14:textId="77777777" w:rsidTr="004F3817">
        <w:tc>
          <w:tcPr>
            <w:tcW w:w="4508" w:type="dxa"/>
          </w:tcPr>
          <w:p w14:paraId="3B9B3553" w14:textId="5CC41316" w:rsidR="00F515E0" w:rsidRDefault="00F515E0" w:rsidP="00AF62C0">
            <w:r>
              <w:t>Farms are considered and consented on a case-by-case basis, and cumulative impacts are not well addressed.</w:t>
            </w:r>
          </w:p>
        </w:tc>
        <w:tc>
          <w:tcPr>
            <w:tcW w:w="4508" w:type="dxa"/>
          </w:tcPr>
          <w:p w14:paraId="6D7BCE0D" w14:textId="5A3E72EA" w:rsidR="00D858EA" w:rsidRDefault="00D8762A" w:rsidP="00AF62C0">
            <w:pPr>
              <w:rPr>
                <w:color w:val="1F3864" w:themeColor="accent1" w:themeShade="80"/>
              </w:rPr>
            </w:pPr>
            <w:r>
              <w:rPr>
                <w:color w:val="1F3864" w:themeColor="accent1" w:themeShade="80"/>
              </w:rPr>
              <w:t>C</w:t>
            </w:r>
            <w:r w:rsidR="00FD6CFF" w:rsidRPr="004529B1">
              <w:rPr>
                <w:color w:val="1F3864" w:themeColor="accent1" w:themeShade="80"/>
              </w:rPr>
              <w:t xml:space="preserve">onsenting of new developments </w:t>
            </w:r>
            <w:r>
              <w:rPr>
                <w:color w:val="1F3864" w:themeColor="accent1" w:themeShade="80"/>
              </w:rPr>
              <w:t>to</w:t>
            </w:r>
            <w:r w:rsidR="00FD6CFF" w:rsidRPr="004529B1">
              <w:rPr>
                <w:color w:val="1F3864" w:themeColor="accent1" w:themeShade="80"/>
              </w:rPr>
              <w:t xml:space="preserve"> be managed within a spatial planning </w:t>
            </w:r>
            <w:r w:rsidR="00A310A4">
              <w:rPr>
                <w:color w:val="1F3864" w:themeColor="accent1" w:themeShade="80"/>
              </w:rPr>
              <w:t>system</w:t>
            </w:r>
            <w:r w:rsidR="00FD6CFF" w:rsidRPr="004529B1">
              <w:rPr>
                <w:color w:val="1F3864" w:themeColor="accent1" w:themeShade="80"/>
              </w:rPr>
              <w:t xml:space="preserve"> which takes account </w:t>
            </w:r>
            <w:r w:rsidR="00D858EA">
              <w:rPr>
                <w:color w:val="1F3864" w:themeColor="accent1" w:themeShade="80"/>
              </w:rPr>
              <w:t xml:space="preserve">of </w:t>
            </w:r>
            <w:r w:rsidR="00FD6CFF" w:rsidRPr="004529B1">
              <w:rPr>
                <w:color w:val="1F3864" w:themeColor="accent1" w:themeShade="80"/>
              </w:rPr>
              <w:t xml:space="preserve">the effect of existing </w:t>
            </w:r>
            <w:r w:rsidR="00D858EA">
              <w:rPr>
                <w:color w:val="1F3864" w:themeColor="accent1" w:themeShade="80"/>
              </w:rPr>
              <w:t xml:space="preserve">farms </w:t>
            </w:r>
            <w:r w:rsidR="00FD6CFF" w:rsidRPr="004529B1">
              <w:rPr>
                <w:color w:val="1F3864" w:themeColor="accent1" w:themeShade="80"/>
              </w:rPr>
              <w:t>and impacts on wild salmonid fish</w:t>
            </w:r>
            <w:r w:rsidR="00A1526D" w:rsidRPr="004529B1">
              <w:rPr>
                <w:color w:val="1F3864" w:themeColor="accent1" w:themeShade="80"/>
              </w:rPr>
              <w:t xml:space="preserve">. </w:t>
            </w:r>
          </w:p>
          <w:p w14:paraId="3331A7BF" w14:textId="77777777" w:rsidR="00D858EA" w:rsidRDefault="00D858EA" w:rsidP="00AF62C0">
            <w:pPr>
              <w:rPr>
                <w:color w:val="1F3864" w:themeColor="accent1" w:themeShade="80"/>
              </w:rPr>
            </w:pPr>
          </w:p>
          <w:p w14:paraId="4C5985BF" w14:textId="58AEDA57" w:rsidR="00F515E0" w:rsidRPr="004529B1" w:rsidRDefault="00AD6721" w:rsidP="00AF62C0">
            <w:pPr>
              <w:rPr>
                <w:color w:val="1F3864" w:themeColor="accent1" w:themeShade="80"/>
              </w:rPr>
            </w:pPr>
            <w:r>
              <w:rPr>
                <w:color w:val="1F3864" w:themeColor="accent1" w:themeShade="80"/>
              </w:rPr>
              <w:t>We consider that this precautionary approach will act to prevent damage</w:t>
            </w:r>
            <w:r w:rsidR="00965175">
              <w:rPr>
                <w:color w:val="1F3864" w:themeColor="accent1" w:themeShade="80"/>
              </w:rPr>
              <w:t xml:space="preserve"> to wild salmonids, by providing a</w:t>
            </w:r>
            <w:r w:rsidR="00E46981">
              <w:rPr>
                <w:color w:val="1F3864" w:themeColor="accent1" w:themeShade="80"/>
              </w:rPr>
              <w:t xml:space="preserve"> </w:t>
            </w:r>
            <w:r w:rsidR="00965175">
              <w:rPr>
                <w:color w:val="1F3864" w:themeColor="accent1" w:themeShade="80"/>
              </w:rPr>
              <w:t xml:space="preserve">framework </w:t>
            </w:r>
            <w:r w:rsidR="00197F60">
              <w:rPr>
                <w:color w:val="1F3864" w:themeColor="accent1" w:themeShade="80"/>
              </w:rPr>
              <w:t xml:space="preserve">within which new </w:t>
            </w:r>
            <w:r w:rsidR="00B65A07">
              <w:rPr>
                <w:color w:val="1F3864" w:themeColor="accent1" w:themeShade="80"/>
              </w:rPr>
              <w:t>and expanding farms</w:t>
            </w:r>
            <w:r w:rsidR="00295805">
              <w:rPr>
                <w:color w:val="1F3864" w:themeColor="accent1" w:themeShade="80"/>
              </w:rPr>
              <w:t>, are managed</w:t>
            </w:r>
            <w:r w:rsidR="00E46981">
              <w:rPr>
                <w:color w:val="1F3864" w:themeColor="accent1" w:themeShade="80"/>
              </w:rPr>
              <w:t>.</w:t>
            </w:r>
          </w:p>
        </w:tc>
      </w:tr>
      <w:tr w:rsidR="00AF62C0" w14:paraId="60FD3D66" w14:textId="77777777" w:rsidTr="004F3817">
        <w:tc>
          <w:tcPr>
            <w:tcW w:w="4508" w:type="dxa"/>
          </w:tcPr>
          <w:p w14:paraId="63E70D51" w14:textId="106A771C" w:rsidR="00AF62C0" w:rsidRDefault="00AF62C0" w:rsidP="00AF62C0">
            <w:r>
              <w:t>Publication of</w:t>
            </w:r>
            <w:r w:rsidR="00190296">
              <w:t xml:space="preserve"> sea lice</w:t>
            </w:r>
            <w:r>
              <w:t xml:space="preserve"> data is voluntary and applies only to salmon farms.</w:t>
            </w:r>
          </w:p>
        </w:tc>
        <w:tc>
          <w:tcPr>
            <w:tcW w:w="4508" w:type="dxa"/>
          </w:tcPr>
          <w:p w14:paraId="035ECC2A" w14:textId="37F01535" w:rsidR="00565372" w:rsidRDefault="00AF62C0" w:rsidP="00AF62C0">
            <w:pPr>
              <w:rPr>
                <w:color w:val="1F3864" w:themeColor="accent1" w:themeShade="80"/>
              </w:rPr>
            </w:pPr>
            <w:r w:rsidRPr="004529B1">
              <w:rPr>
                <w:color w:val="1F3864" w:themeColor="accent1" w:themeShade="80"/>
              </w:rPr>
              <w:t xml:space="preserve">Publication of </w:t>
            </w:r>
            <w:r w:rsidR="00F25C5E">
              <w:rPr>
                <w:color w:val="1F3864" w:themeColor="accent1" w:themeShade="80"/>
              </w:rPr>
              <w:t xml:space="preserve">all </w:t>
            </w:r>
            <w:r w:rsidRPr="004529B1">
              <w:rPr>
                <w:color w:val="1F3864" w:themeColor="accent1" w:themeShade="80"/>
              </w:rPr>
              <w:t xml:space="preserve">data will be </w:t>
            </w:r>
            <w:r w:rsidR="00655905">
              <w:rPr>
                <w:color w:val="1F3864" w:themeColor="accent1" w:themeShade="80"/>
              </w:rPr>
              <w:t xml:space="preserve">a </w:t>
            </w:r>
            <w:r w:rsidRPr="004529B1">
              <w:rPr>
                <w:color w:val="1F3864" w:themeColor="accent1" w:themeShade="80"/>
              </w:rPr>
              <w:t>mandatory</w:t>
            </w:r>
            <w:r w:rsidR="00655905">
              <w:rPr>
                <w:color w:val="1F3864" w:themeColor="accent1" w:themeShade="80"/>
              </w:rPr>
              <w:t xml:space="preserve"> licence condition</w:t>
            </w:r>
            <w:r w:rsidRPr="004529B1">
              <w:rPr>
                <w:color w:val="1F3864" w:themeColor="accent1" w:themeShade="80"/>
              </w:rPr>
              <w:t xml:space="preserve"> and will apply to all farms (salmon and trout). </w:t>
            </w:r>
            <w:r w:rsidR="00C57AAA">
              <w:rPr>
                <w:color w:val="1F3864" w:themeColor="accent1" w:themeShade="80"/>
              </w:rPr>
              <w:t xml:space="preserve"> </w:t>
            </w:r>
          </w:p>
          <w:p w14:paraId="7792E118" w14:textId="77777777" w:rsidR="0080604C" w:rsidRDefault="0080604C" w:rsidP="00AF62C0">
            <w:pPr>
              <w:rPr>
                <w:color w:val="1F3864" w:themeColor="accent1" w:themeShade="80"/>
              </w:rPr>
            </w:pPr>
          </w:p>
          <w:p w14:paraId="31F6B7FD" w14:textId="650B739A" w:rsidR="00AF62C0" w:rsidRPr="004529B1" w:rsidRDefault="00C57AAA" w:rsidP="00AF62C0">
            <w:pPr>
              <w:rPr>
                <w:color w:val="1F3864" w:themeColor="accent1" w:themeShade="80"/>
              </w:rPr>
            </w:pPr>
            <w:r>
              <w:rPr>
                <w:color w:val="1F3864" w:themeColor="accent1" w:themeShade="80"/>
              </w:rPr>
              <w:t>Scottish Ministers committed in June</w:t>
            </w:r>
            <w:r w:rsidR="001807E1">
              <w:rPr>
                <w:color w:val="1F3864" w:themeColor="accent1" w:themeShade="80"/>
              </w:rPr>
              <w:t xml:space="preserve"> 2019</w:t>
            </w:r>
            <w:r>
              <w:rPr>
                <w:color w:val="1F3864" w:themeColor="accent1" w:themeShade="80"/>
              </w:rPr>
              <w:t xml:space="preserve"> to </w:t>
            </w:r>
            <w:r w:rsidR="0005343B">
              <w:rPr>
                <w:color w:val="1F3864" w:themeColor="accent1" w:themeShade="80"/>
              </w:rPr>
              <w:t>reporting</w:t>
            </w:r>
            <w:r>
              <w:rPr>
                <w:color w:val="1F3864" w:themeColor="accent1" w:themeShade="80"/>
              </w:rPr>
              <w:t xml:space="preserve"> of </w:t>
            </w:r>
            <w:r w:rsidR="001807E1">
              <w:rPr>
                <w:color w:val="1F3864" w:themeColor="accent1" w:themeShade="80"/>
              </w:rPr>
              <w:t xml:space="preserve">farm level sea lice levels </w:t>
            </w:r>
            <w:r w:rsidR="00724E0D" w:rsidRPr="00724E0D">
              <w:rPr>
                <w:color w:val="1F3864" w:themeColor="accent1" w:themeShade="80"/>
              </w:rPr>
              <w:t>one week in arrears</w:t>
            </w:r>
            <w:r w:rsidR="0005343B">
              <w:rPr>
                <w:color w:val="1F3864" w:themeColor="accent1" w:themeShade="80"/>
              </w:rPr>
              <w:t xml:space="preserve"> for all marine fish farms</w:t>
            </w:r>
            <w:r w:rsidR="00433609">
              <w:rPr>
                <w:color w:val="1F3864" w:themeColor="accent1" w:themeShade="80"/>
              </w:rPr>
              <w:t xml:space="preserve"> (salmon and trout)</w:t>
            </w:r>
            <w:r w:rsidR="00724E0D" w:rsidRPr="00724E0D">
              <w:rPr>
                <w:color w:val="1F3864" w:themeColor="accent1" w:themeShade="80"/>
              </w:rPr>
              <w:t>.</w:t>
            </w:r>
          </w:p>
        </w:tc>
      </w:tr>
      <w:tr w:rsidR="00AF62C0" w14:paraId="1107D1C7" w14:textId="77777777" w:rsidTr="004F3817">
        <w:tc>
          <w:tcPr>
            <w:tcW w:w="4508" w:type="dxa"/>
          </w:tcPr>
          <w:p w14:paraId="6E295FBF" w14:textId="636FA21E" w:rsidR="00AF62C0" w:rsidRDefault="00F82998" w:rsidP="00AF62C0">
            <w:r>
              <w:t>Voluntary d</w:t>
            </w:r>
            <w:r w:rsidR="00AF62C0">
              <w:t xml:space="preserve">ata publication includes </w:t>
            </w:r>
            <w:r>
              <w:t xml:space="preserve">the </w:t>
            </w:r>
            <w:r w:rsidR="00AF62C0">
              <w:t>number of lice per fish but does not include the overall number of fish in the farms. This is a crucial omission, because it is the overall number of sea lice in an area that is important to wild fish</w:t>
            </w:r>
            <w:r w:rsidR="00AF62C0">
              <w:rPr>
                <w:rStyle w:val="FootnoteReference"/>
              </w:rPr>
              <w:footnoteReference w:id="1"/>
            </w:r>
            <w:r w:rsidR="00AF62C0">
              <w:t>.</w:t>
            </w:r>
          </w:p>
        </w:tc>
        <w:tc>
          <w:tcPr>
            <w:tcW w:w="4508" w:type="dxa"/>
          </w:tcPr>
          <w:p w14:paraId="444B1F98" w14:textId="7D8E9A5B" w:rsidR="00AF62C0" w:rsidRPr="004529B1" w:rsidRDefault="00F82998" w:rsidP="00AF62C0">
            <w:pPr>
              <w:rPr>
                <w:color w:val="1F3864" w:themeColor="accent1" w:themeShade="80"/>
              </w:rPr>
            </w:pPr>
            <w:r w:rsidRPr="004529B1">
              <w:rPr>
                <w:color w:val="1F3864" w:themeColor="accent1" w:themeShade="80"/>
              </w:rPr>
              <w:t>Mandatory l</w:t>
            </w:r>
            <w:r w:rsidR="00AF62C0" w:rsidRPr="004529B1">
              <w:rPr>
                <w:color w:val="1F3864" w:themeColor="accent1" w:themeShade="80"/>
              </w:rPr>
              <w:t xml:space="preserve">icence conditions will require </w:t>
            </w:r>
            <w:r w:rsidR="00565372">
              <w:rPr>
                <w:color w:val="1F3864" w:themeColor="accent1" w:themeShade="80"/>
              </w:rPr>
              <w:t>fish farms</w:t>
            </w:r>
            <w:r w:rsidR="00AF62C0" w:rsidRPr="004529B1">
              <w:rPr>
                <w:color w:val="1F3864" w:themeColor="accent1" w:themeShade="80"/>
              </w:rPr>
              <w:t xml:space="preserve"> to provide data on the number of farmed fish per farm</w:t>
            </w:r>
            <w:r w:rsidRPr="004529B1">
              <w:rPr>
                <w:color w:val="1F3864" w:themeColor="accent1" w:themeShade="80"/>
              </w:rPr>
              <w:t xml:space="preserve"> in addition to the number of lice per fish</w:t>
            </w:r>
            <w:r w:rsidR="00AF62C0" w:rsidRPr="004529B1">
              <w:rPr>
                <w:color w:val="1F3864" w:themeColor="accent1" w:themeShade="80"/>
              </w:rPr>
              <w:t>.</w:t>
            </w:r>
          </w:p>
        </w:tc>
      </w:tr>
      <w:tr w:rsidR="00AF62C0" w14:paraId="5D20F67E" w14:textId="77777777" w:rsidTr="004F3817">
        <w:tc>
          <w:tcPr>
            <w:tcW w:w="4508" w:type="dxa"/>
          </w:tcPr>
          <w:p w14:paraId="740784AC" w14:textId="413FDEE6" w:rsidR="00AF62C0" w:rsidRDefault="00AF62C0" w:rsidP="00AF62C0">
            <w:r>
              <w:t xml:space="preserve">Sea lice thresholds do not </w:t>
            </w:r>
            <w:r w:rsidR="00924B03">
              <w:t>relate to impacts on</w:t>
            </w:r>
            <w:r>
              <w:t xml:space="preserve"> wild fish. The Scottish Government sea lice compliance policy is based </w:t>
            </w:r>
            <w:r w:rsidR="00CB4468">
              <w:t xml:space="preserve">on </w:t>
            </w:r>
            <w:r>
              <w:t xml:space="preserve">the health and welfare of farmed </w:t>
            </w:r>
            <w:r w:rsidR="002C1F58">
              <w:t>fish but</w:t>
            </w:r>
            <w:r>
              <w:t xml:space="preserve"> does not </w:t>
            </w:r>
            <w:proofErr w:type="gramStart"/>
            <w:r>
              <w:t>take into account</w:t>
            </w:r>
            <w:proofErr w:type="gramEnd"/>
            <w:r>
              <w:t xml:space="preserve"> any impacts on wild salmon and sea trout.</w:t>
            </w:r>
          </w:p>
        </w:tc>
        <w:tc>
          <w:tcPr>
            <w:tcW w:w="4508" w:type="dxa"/>
          </w:tcPr>
          <w:p w14:paraId="78A5E052" w14:textId="65C37770" w:rsidR="00E06C54" w:rsidRDefault="00CB4468" w:rsidP="00AF62C0">
            <w:pPr>
              <w:rPr>
                <w:color w:val="1F3864" w:themeColor="accent1" w:themeShade="80"/>
              </w:rPr>
            </w:pPr>
            <w:r w:rsidRPr="004529B1">
              <w:rPr>
                <w:color w:val="1F3864" w:themeColor="accent1" w:themeShade="80"/>
              </w:rPr>
              <w:t>Mandatory l</w:t>
            </w:r>
            <w:r w:rsidR="00AF62C0" w:rsidRPr="004529B1">
              <w:rPr>
                <w:color w:val="1F3864" w:themeColor="accent1" w:themeShade="80"/>
              </w:rPr>
              <w:t>icen</w:t>
            </w:r>
            <w:r w:rsidR="001176BA">
              <w:rPr>
                <w:color w:val="1F3864" w:themeColor="accent1" w:themeShade="80"/>
              </w:rPr>
              <w:t>c</w:t>
            </w:r>
            <w:r w:rsidR="00AF62C0" w:rsidRPr="004529B1">
              <w:rPr>
                <w:color w:val="1F3864" w:themeColor="accent1" w:themeShade="80"/>
              </w:rPr>
              <w:t xml:space="preserve">e conditions </w:t>
            </w:r>
            <w:r w:rsidRPr="004529B1">
              <w:rPr>
                <w:color w:val="1F3864" w:themeColor="accent1" w:themeShade="80"/>
              </w:rPr>
              <w:t>will</w:t>
            </w:r>
            <w:r w:rsidR="00AF62C0" w:rsidRPr="004529B1">
              <w:rPr>
                <w:color w:val="1F3864" w:themeColor="accent1" w:themeShade="80"/>
              </w:rPr>
              <w:t xml:space="preserve"> include trigger levels for sea lice intervention action. </w:t>
            </w:r>
          </w:p>
          <w:p w14:paraId="00F593B7" w14:textId="77777777" w:rsidR="00E06C54" w:rsidRDefault="00E06C54" w:rsidP="00AF62C0">
            <w:pPr>
              <w:rPr>
                <w:color w:val="1F3864" w:themeColor="accent1" w:themeShade="80"/>
              </w:rPr>
            </w:pPr>
          </w:p>
          <w:p w14:paraId="5F79C254" w14:textId="76B40259" w:rsidR="00AF62C0" w:rsidRPr="004529B1" w:rsidRDefault="008C0FBB" w:rsidP="00BF7F86">
            <w:pPr>
              <w:rPr>
                <w:color w:val="1F3864" w:themeColor="accent1" w:themeShade="80"/>
              </w:rPr>
            </w:pPr>
            <w:r>
              <w:rPr>
                <w:color w:val="1F3864" w:themeColor="accent1" w:themeShade="80"/>
              </w:rPr>
              <w:t>These</w:t>
            </w:r>
            <w:r w:rsidR="002844EA">
              <w:rPr>
                <w:color w:val="1F3864" w:themeColor="accent1" w:themeShade="80"/>
              </w:rPr>
              <w:t xml:space="preserve"> l</w:t>
            </w:r>
            <w:r w:rsidR="00E06C54" w:rsidRPr="00E06C54">
              <w:rPr>
                <w:color w:val="1F3864" w:themeColor="accent1" w:themeShade="80"/>
              </w:rPr>
              <w:t>icence conditions</w:t>
            </w:r>
            <w:r w:rsidR="002844EA">
              <w:rPr>
                <w:color w:val="1F3864" w:themeColor="accent1" w:themeShade="80"/>
              </w:rPr>
              <w:t xml:space="preserve"> </w:t>
            </w:r>
            <w:r>
              <w:rPr>
                <w:color w:val="1F3864" w:themeColor="accent1" w:themeShade="80"/>
              </w:rPr>
              <w:t>are</w:t>
            </w:r>
            <w:r w:rsidR="00E06C54" w:rsidRPr="00E06C54">
              <w:rPr>
                <w:color w:val="1F3864" w:themeColor="accent1" w:themeShade="80"/>
              </w:rPr>
              <w:t xml:space="preserve"> designed to safeguard wild salmonids. </w:t>
            </w:r>
          </w:p>
        </w:tc>
      </w:tr>
      <w:tr w:rsidR="00AF62C0" w14:paraId="6234A839" w14:textId="77777777" w:rsidTr="004F3817">
        <w:tc>
          <w:tcPr>
            <w:tcW w:w="4508" w:type="dxa"/>
          </w:tcPr>
          <w:p w14:paraId="549D21C7" w14:textId="098BA1BD" w:rsidR="00AF62C0" w:rsidRDefault="00AF62C0" w:rsidP="00AF62C0">
            <w:r>
              <w:t xml:space="preserve">It is not an offence to have an escape – the only offence is to fail to report an </w:t>
            </w:r>
            <w:proofErr w:type="gramStart"/>
            <w:r>
              <w:t>escape, or</w:t>
            </w:r>
            <w:proofErr w:type="gramEnd"/>
            <w:r>
              <w:t xml:space="preserve"> fail to report circumstances that may have led to an escape.</w:t>
            </w:r>
          </w:p>
        </w:tc>
        <w:tc>
          <w:tcPr>
            <w:tcW w:w="4508" w:type="dxa"/>
          </w:tcPr>
          <w:p w14:paraId="6E34C430" w14:textId="06806102" w:rsidR="00020134" w:rsidRDefault="00020134" w:rsidP="00AF62C0">
            <w:pPr>
              <w:rPr>
                <w:color w:val="1F3864" w:themeColor="accent1" w:themeShade="80"/>
              </w:rPr>
            </w:pPr>
            <w:r>
              <w:rPr>
                <w:color w:val="1F3864" w:themeColor="accent1" w:themeShade="80"/>
              </w:rPr>
              <w:t>Fish farmers</w:t>
            </w:r>
            <w:r w:rsidR="00AF62C0" w:rsidRPr="004529B1">
              <w:rPr>
                <w:color w:val="1F3864" w:themeColor="accent1" w:themeShade="80"/>
              </w:rPr>
              <w:t xml:space="preserve"> require</w:t>
            </w:r>
            <w:r>
              <w:rPr>
                <w:color w:val="1F3864" w:themeColor="accent1" w:themeShade="80"/>
              </w:rPr>
              <w:t>d</w:t>
            </w:r>
            <w:r w:rsidR="00AF62C0" w:rsidRPr="004529B1">
              <w:rPr>
                <w:color w:val="1F3864" w:themeColor="accent1" w:themeShade="80"/>
              </w:rPr>
              <w:t xml:space="preserve"> to </w:t>
            </w:r>
            <w:r>
              <w:rPr>
                <w:color w:val="1F3864" w:themeColor="accent1" w:themeShade="80"/>
              </w:rPr>
              <w:t>keep</w:t>
            </w:r>
            <w:r w:rsidR="00AF62C0" w:rsidRPr="004529B1">
              <w:rPr>
                <w:color w:val="1F3864" w:themeColor="accent1" w:themeShade="80"/>
              </w:rPr>
              <w:t xml:space="preserve"> 100% of farmed fish in all production facilities. </w:t>
            </w:r>
          </w:p>
          <w:p w14:paraId="241D6D5E" w14:textId="77777777" w:rsidR="00020134" w:rsidRDefault="00020134" w:rsidP="00AF62C0">
            <w:pPr>
              <w:rPr>
                <w:color w:val="1F3864" w:themeColor="accent1" w:themeShade="80"/>
              </w:rPr>
            </w:pPr>
          </w:p>
          <w:p w14:paraId="2B25BF9D" w14:textId="6489B814" w:rsidR="00AF62C0" w:rsidRPr="004529B1" w:rsidRDefault="00DD68CE" w:rsidP="00AF62C0">
            <w:pPr>
              <w:rPr>
                <w:color w:val="1F3864" w:themeColor="accent1" w:themeShade="80"/>
              </w:rPr>
            </w:pPr>
            <w:r>
              <w:rPr>
                <w:color w:val="1F3864" w:themeColor="accent1" w:themeShade="80"/>
              </w:rPr>
              <w:t xml:space="preserve">Fines </w:t>
            </w:r>
            <w:r w:rsidR="00AF62C0" w:rsidRPr="004529B1">
              <w:rPr>
                <w:color w:val="1F3864" w:themeColor="accent1" w:themeShade="80"/>
              </w:rPr>
              <w:t xml:space="preserve">to </w:t>
            </w:r>
            <w:r>
              <w:rPr>
                <w:color w:val="1F3864" w:themeColor="accent1" w:themeShade="80"/>
              </w:rPr>
              <w:t xml:space="preserve">be introduced </w:t>
            </w:r>
            <w:r w:rsidR="008E6B2D">
              <w:rPr>
                <w:color w:val="1F3864" w:themeColor="accent1" w:themeShade="80"/>
              </w:rPr>
              <w:t xml:space="preserve">(on a per fish basis) </w:t>
            </w:r>
            <w:r>
              <w:rPr>
                <w:color w:val="1F3864" w:themeColor="accent1" w:themeShade="80"/>
              </w:rPr>
              <w:t xml:space="preserve">to </w:t>
            </w:r>
            <w:r w:rsidR="00AF62C0" w:rsidRPr="004529B1">
              <w:rPr>
                <w:color w:val="1F3864" w:themeColor="accent1" w:themeShade="80"/>
              </w:rPr>
              <w:t>apply to escapes of fish</w:t>
            </w:r>
            <w:r w:rsidR="002E5A6B">
              <w:rPr>
                <w:color w:val="1F3864" w:themeColor="accent1" w:themeShade="80"/>
              </w:rPr>
              <w:t>.</w:t>
            </w:r>
          </w:p>
        </w:tc>
      </w:tr>
      <w:tr w:rsidR="00AF62C0" w14:paraId="2ADC7428" w14:textId="77777777" w:rsidTr="004F3817">
        <w:tc>
          <w:tcPr>
            <w:tcW w:w="4508" w:type="dxa"/>
          </w:tcPr>
          <w:p w14:paraId="192689C5" w14:textId="57897859" w:rsidR="00AF62C0" w:rsidRDefault="00AF62C0" w:rsidP="00AF62C0">
            <w:r>
              <w:t>Monitoring for escapes in freshwater lochs not required.</w:t>
            </w:r>
          </w:p>
        </w:tc>
        <w:tc>
          <w:tcPr>
            <w:tcW w:w="4508" w:type="dxa"/>
          </w:tcPr>
          <w:p w14:paraId="76801617" w14:textId="62F0E3FE" w:rsidR="00AF62C0" w:rsidRPr="004529B1" w:rsidRDefault="00AF62C0" w:rsidP="00AF62C0">
            <w:pPr>
              <w:rPr>
                <w:color w:val="1F3864" w:themeColor="accent1" w:themeShade="80"/>
              </w:rPr>
            </w:pPr>
            <w:r w:rsidRPr="004529B1">
              <w:rPr>
                <w:color w:val="1F3864" w:themeColor="accent1" w:themeShade="80"/>
              </w:rPr>
              <w:t>M</w:t>
            </w:r>
            <w:r w:rsidR="00A013B6">
              <w:rPr>
                <w:color w:val="1F3864" w:themeColor="accent1" w:themeShade="80"/>
              </w:rPr>
              <w:t>andatory m</w:t>
            </w:r>
            <w:r w:rsidRPr="004529B1">
              <w:rPr>
                <w:color w:val="1F3864" w:themeColor="accent1" w:themeShade="80"/>
              </w:rPr>
              <w:t xml:space="preserve">onitoring for the presence of escaped farmed fish from freshwater open pen farms to be </w:t>
            </w:r>
            <w:r w:rsidR="00A013B6">
              <w:rPr>
                <w:color w:val="1F3864" w:themeColor="accent1" w:themeShade="80"/>
              </w:rPr>
              <w:t>introduced</w:t>
            </w:r>
            <w:r w:rsidR="00DB098E">
              <w:rPr>
                <w:color w:val="1F3864" w:themeColor="accent1" w:themeShade="80"/>
              </w:rPr>
              <w:t>.</w:t>
            </w:r>
          </w:p>
        </w:tc>
      </w:tr>
      <w:tr w:rsidR="00AF62C0" w14:paraId="6ADD9A04" w14:textId="77777777" w:rsidTr="004F3817">
        <w:tc>
          <w:tcPr>
            <w:tcW w:w="4508" w:type="dxa"/>
          </w:tcPr>
          <w:p w14:paraId="6660E97C" w14:textId="5F3702F4" w:rsidR="00AF62C0" w:rsidRDefault="00AF62C0" w:rsidP="00AF62C0">
            <w:r>
              <w:t>Scottish Ministers have had powers to introduce a Scottish Technical standard since 2013, but this has never been enacted.</w:t>
            </w:r>
          </w:p>
        </w:tc>
        <w:tc>
          <w:tcPr>
            <w:tcW w:w="4508" w:type="dxa"/>
          </w:tcPr>
          <w:p w14:paraId="2EEA3AC6" w14:textId="5BA8A7CE" w:rsidR="00AF62C0" w:rsidRPr="004529B1" w:rsidRDefault="00AF62C0" w:rsidP="00AF62C0">
            <w:pPr>
              <w:rPr>
                <w:color w:val="1F3864" w:themeColor="accent1" w:themeShade="80"/>
              </w:rPr>
            </w:pPr>
            <w:r w:rsidRPr="004529B1">
              <w:rPr>
                <w:color w:val="1F3864" w:themeColor="accent1" w:themeShade="80"/>
              </w:rPr>
              <w:t>Minimum technical standards for prevention of escapes of farmed fish to be included in licen</w:t>
            </w:r>
            <w:r w:rsidR="001176BA">
              <w:rPr>
                <w:color w:val="1F3864" w:themeColor="accent1" w:themeShade="80"/>
              </w:rPr>
              <w:t>c</w:t>
            </w:r>
            <w:r w:rsidRPr="004529B1">
              <w:rPr>
                <w:color w:val="1F3864" w:themeColor="accent1" w:themeShade="80"/>
              </w:rPr>
              <w:t>e conditions.</w:t>
            </w:r>
          </w:p>
        </w:tc>
      </w:tr>
      <w:tr w:rsidR="004E264F" w14:paraId="291F6437" w14:textId="77777777" w:rsidTr="004F3817">
        <w:tc>
          <w:tcPr>
            <w:tcW w:w="4508" w:type="dxa"/>
          </w:tcPr>
          <w:p w14:paraId="268F0F4E" w14:textId="58D4D63C" w:rsidR="004E264F" w:rsidRDefault="00CD5435" w:rsidP="00AF62C0">
            <w:r>
              <w:t xml:space="preserve">Identification of escaped fish to their farm of origin is </w:t>
            </w:r>
            <w:r w:rsidR="00EE2081">
              <w:t xml:space="preserve">a </w:t>
            </w:r>
            <w:proofErr w:type="gramStart"/>
            <w:r w:rsidR="00EE2081">
              <w:t>particular</w:t>
            </w:r>
            <w:r w:rsidR="007667AA">
              <w:t xml:space="preserve"> challenge</w:t>
            </w:r>
            <w:proofErr w:type="gramEnd"/>
            <w:r w:rsidR="007667AA">
              <w:t>.</w:t>
            </w:r>
          </w:p>
        </w:tc>
        <w:tc>
          <w:tcPr>
            <w:tcW w:w="4508" w:type="dxa"/>
          </w:tcPr>
          <w:p w14:paraId="2C7E1297" w14:textId="1861F36E" w:rsidR="006A45F2" w:rsidRDefault="00807A5A" w:rsidP="006A45F2">
            <w:pPr>
              <w:rPr>
                <w:color w:val="1F3864" w:themeColor="accent1" w:themeShade="80"/>
              </w:rPr>
            </w:pPr>
            <w:r>
              <w:rPr>
                <w:color w:val="1F3864" w:themeColor="accent1" w:themeShade="80"/>
              </w:rPr>
              <w:t>T</w:t>
            </w:r>
            <w:r w:rsidR="00AE58F8">
              <w:rPr>
                <w:color w:val="1F3864" w:themeColor="accent1" w:themeShade="80"/>
              </w:rPr>
              <w:t xml:space="preserve">ools </w:t>
            </w:r>
            <w:r>
              <w:rPr>
                <w:color w:val="1F3864" w:themeColor="accent1" w:themeShade="80"/>
              </w:rPr>
              <w:t>to</w:t>
            </w:r>
            <w:r w:rsidR="00AE58F8">
              <w:rPr>
                <w:color w:val="1F3864" w:themeColor="accent1" w:themeShade="80"/>
              </w:rPr>
              <w:t xml:space="preserve"> be refined or developed to distinguish </w:t>
            </w:r>
            <w:r w:rsidR="006A45F2" w:rsidRPr="006A45F2">
              <w:rPr>
                <w:color w:val="1F3864" w:themeColor="accent1" w:themeShade="80"/>
              </w:rPr>
              <w:t>recent</w:t>
            </w:r>
            <w:r w:rsidR="00431B75">
              <w:rPr>
                <w:color w:val="1F3864" w:themeColor="accent1" w:themeShade="80"/>
              </w:rPr>
              <w:t xml:space="preserve"> genetic</w:t>
            </w:r>
            <w:r w:rsidR="006A45F2" w:rsidRPr="006A45F2">
              <w:rPr>
                <w:color w:val="1F3864" w:themeColor="accent1" w:themeShade="80"/>
              </w:rPr>
              <w:t xml:space="preserve"> </w:t>
            </w:r>
            <w:proofErr w:type="spellStart"/>
            <w:r w:rsidR="006A45F2" w:rsidRPr="006A45F2">
              <w:rPr>
                <w:color w:val="1F3864" w:themeColor="accent1" w:themeShade="80"/>
              </w:rPr>
              <w:t>introgression</w:t>
            </w:r>
            <w:proofErr w:type="spellEnd"/>
            <w:r w:rsidR="006A45F2" w:rsidRPr="006A45F2">
              <w:rPr>
                <w:color w:val="1F3864" w:themeColor="accent1" w:themeShade="80"/>
              </w:rPr>
              <w:t xml:space="preserve"> </w:t>
            </w:r>
            <w:r w:rsidR="00AE58F8">
              <w:rPr>
                <w:color w:val="1F3864" w:themeColor="accent1" w:themeShade="80"/>
              </w:rPr>
              <w:t>from</w:t>
            </w:r>
            <w:r w:rsidR="00AE58F8" w:rsidRPr="006A45F2">
              <w:rPr>
                <w:color w:val="1F3864" w:themeColor="accent1" w:themeShade="80"/>
              </w:rPr>
              <w:t xml:space="preserve"> historic</w:t>
            </w:r>
            <w:r w:rsidR="00AE58F8">
              <w:rPr>
                <w:color w:val="1F3864" w:themeColor="accent1" w:themeShade="80"/>
              </w:rPr>
              <w:t xml:space="preserve"> </w:t>
            </w:r>
            <w:proofErr w:type="spellStart"/>
            <w:r w:rsidR="006A45F2" w:rsidRPr="006A45F2">
              <w:rPr>
                <w:color w:val="1F3864" w:themeColor="accent1" w:themeShade="80"/>
              </w:rPr>
              <w:t>introgression</w:t>
            </w:r>
            <w:proofErr w:type="spellEnd"/>
            <w:r w:rsidR="00AE58F8">
              <w:rPr>
                <w:color w:val="1F3864" w:themeColor="accent1" w:themeShade="80"/>
              </w:rPr>
              <w:t>.</w:t>
            </w:r>
            <w:r w:rsidR="00651CC0">
              <w:rPr>
                <w:color w:val="1F3864" w:themeColor="accent1" w:themeShade="80"/>
              </w:rPr>
              <w:t xml:space="preserve"> This </w:t>
            </w:r>
            <w:r w:rsidR="00976EE8">
              <w:rPr>
                <w:color w:val="1F3864" w:themeColor="accent1" w:themeShade="80"/>
              </w:rPr>
              <w:t xml:space="preserve">is to allow the identification </w:t>
            </w:r>
            <w:r w:rsidR="00976EE8">
              <w:rPr>
                <w:color w:val="1F3864" w:themeColor="accent1" w:themeShade="80"/>
              </w:rPr>
              <w:lastRenderedPageBreak/>
              <w:t xml:space="preserve">of escaped fish to their farm of origin and </w:t>
            </w:r>
            <w:r w:rsidR="0073560E">
              <w:rPr>
                <w:color w:val="1F3864" w:themeColor="accent1" w:themeShade="80"/>
              </w:rPr>
              <w:t>establish where licence conditions have been breached.</w:t>
            </w:r>
          </w:p>
          <w:p w14:paraId="53729A40" w14:textId="77777777" w:rsidR="00AE58F8" w:rsidRPr="006A45F2" w:rsidRDefault="00AE58F8" w:rsidP="006A45F2">
            <w:pPr>
              <w:rPr>
                <w:color w:val="1F3864" w:themeColor="accent1" w:themeShade="80"/>
              </w:rPr>
            </w:pPr>
          </w:p>
          <w:p w14:paraId="594AE426" w14:textId="73F7C1C1" w:rsidR="004E264F" w:rsidRPr="004529B1" w:rsidRDefault="00976EE8" w:rsidP="006A45F2">
            <w:pPr>
              <w:rPr>
                <w:color w:val="1F3864" w:themeColor="accent1" w:themeShade="80"/>
              </w:rPr>
            </w:pPr>
            <w:r>
              <w:rPr>
                <w:color w:val="1F3864" w:themeColor="accent1" w:themeShade="80"/>
              </w:rPr>
              <w:t>A</w:t>
            </w:r>
            <w:r w:rsidR="006A45F2" w:rsidRPr="006A45F2">
              <w:rPr>
                <w:color w:val="1F3864" w:themeColor="accent1" w:themeShade="80"/>
              </w:rPr>
              <w:t>ccess to biological</w:t>
            </w:r>
            <w:r w:rsidR="005A4895">
              <w:rPr>
                <w:color w:val="1F3864" w:themeColor="accent1" w:themeShade="80"/>
              </w:rPr>
              <w:t xml:space="preserve"> </w:t>
            </w:r>
            <w:r w:rsidR="006A45F2" w:rsidRPr="006A45F2">
              <w:rPr>
                <w:color w:val="1F3864" w:themeColor="accent1" w:themeShade="80"/>
              </w:rPr>
              <w:t xml:space="preserve">information from past, </w:t>
            </w:r>
            <w:proofErr w:type="gramStart"/>
            <w:r w:rsidR="006A45F2" w:rsidRPr="006A45F2">
              <w:rPr>
                <w:color w:val="1F3864" w:themeColor="accent1" w:themeShade="80"/>
              </w:rPr>
              <w:t>current</w:t>
            </w:r>
            <w:proofErr w:type="gramEnd"/>
            <w:r w:rsidR="006A45F2" w:rsidRPr="006A45F2">
              <w:rPr>
                <w:color w:val="1F3864" w:themeColor="accent1" w:themeShade="80"/>
              </w:rPr>
              <w:t xml:space="preserve"> and future farmed strains</w:t>
            </w:r>
            <w:r w:rsidR="00555746">
              <w:rPr>
                <w:color w:val="1F3864" w:themeColor="accent1" w:themeShade="80"/>
              </w:rPr>
              <w:t xml:space="preserve"> of salmon</w:t>
            </w:r>
            <w:r>
              <w:rPr>
                <w:color w:val="1F3864" w:themeColor="accent1" w:themeShade="80"/>
              </w:rPr>
              <w:t xml:space="preserve"> to be secured</w:t>
            </w:r>
            <w:r w:rsidR="00431B75">
              <w:rPr>
                <w:color w:val="1F3864" w:themeColor="accent1" w:themeShade="80"/>
              </w:rPr>
              <w:t xml:space="preserve"> to support the above</w:t>
            </w:r>
            <w:r w:rsidR="007667AA">
              <w:rPr>
                <w:color w:val="1F3864" w:themeColor="accent1" w:themeShade="80"/>
              </w:rPr>
              <w:t>.</w:t>
            </w:r>
          </w:p>
        </w:tc>
      </w:tr>
      <w:tr w:rsidR="00AF62C0" w14:paraId="41638088" w14:textId="77777777" w:rsidTr="004F3817">
        <w:tc>
          <w:tcPr>
            <w:tcW w:w="4508" w:type="dxa"/>
          </w:tcPr>
          <w:p w14:paraId="5E4EB2F6" w14:textId="43ADAE55" w:rsidR="00AF62C0" w:rsidRDefault="00AF62C0" w:rsidP="00AF62C0">
            <w:r>
              <w:lastRenderedPageBreak/>
              <w:t xml:space="preserve">Protection of wild fish is considered as part of the planning process, but once permanent planning </w:t>
            </w:r>
            <w:r w:rsidR="00414CAC">
              <w:t>permission</w:t>
            </w:r>
            <w:r>
              <w:t xml:space="preserve"> is granted, local authorities do not have the resources, or expertise to adequately ensure that wild fish are protected.</w:t>
            </w:r>
          </w:p>
          <w:p w14:paraId="2869395D" w14:textId="097A1A97" w:rsidR="00AF62C0" w:rsidRDefault="00AF62C0" w:rsidP="00AF62C0">
            <w:r>
              <w:t xml:space="preserve">The Marine Scotland Fish Health Inspectorate are responsible for the health and welfare of farmed </w:t>
            </w:r>
            <w:r w:rsidR="002C1F58">
              <w:t>fish but</w:t>
            </w:r>
            <w:r>
              <w:t xml:space="preserve"> impacts on wild fish are out with their remit.</w:t>
            </w:r>
          </w:p>
          <w:p w14:paraId="526A6E5C" w14:textId="7AAF8DD9" w:rsidR="00AF62C0" w:rsidRDefault="00AF62C0" w:rsidP="00AF62C0">
            <w:r>
              <w:t>SEPA are responsible for consenting the size of farms and the use of chemical sea lice treatments, but do not consider impacts on wild fish when making these determinations.</w:t>
            </w:r>
          </w:p>
        </w:tc>
        <w:tc>
          <w:tcPr>
            <w:tcW w:w="4508" w:type="dxa"/>
          </w:tcPr>
          <w:p w14:paraId="58189045" w14:textId="751F9C72" w:rsidR="00AF62C0" w:rsidRPr="004529B1" w:rsidRDefault="00AF62C0" w:rsidP="00AF62C0">
            <w:pPr>
              <w:rPr>
                <w:color w:val="1F3864" w:themeColor="accent1" w:themeShade="80"/>
              </w:rPr>
            </w:pPr>
            <w:r w:rsidRPr="004529B1">
              <w:rPr>
                <w:color w:val="1F3864" w:themeColor="accent1" w:themeShade="80"/>
              </w:rPr>
              <w:t>Strengthened licence conditions and associated enforcement measures to deliver the essential regulatory protection that wild salmonids require</w:t>
            </w:r>
            <w:r w:rsidR="00274189">
              <w:rPr>
                <w:color w:val="1F3864" w:themeColor="accent1" w:themeShade="80"/>
              </w:rPr>
              <w:t>.</w:t>
            </w:r>
          </w:p>
        </w:tc>
      </w:tr>
      <w:tr w:rsidR="00AF62C0" w14:paraId="4121D0DA" w14:textId="77777777" w:rsidTr="004F3817">
        <w:tc>
          <w:tcPr>
            <w:tcW w:w="4508" w:type="dxa"/>
          </w:tcPr>
          <w:p w14:paraId="1DE8B331" w14:textId="6AB13219" w:rsidR="00AF62C0" w:rsidRDefault="00F515E0" w:rsidP="00AF62C0">
            <w:r>
              <w:t>Information on the migratory distributions of wild salmon and sea trout is poorly understood. This has been recognised as an important knowledge gap for many years.</w:t>
            </w:r>
          </w:p>
        </w:tc>
        <w:tc>
          <w:tcPr>
            <w:tcW w:w="4508" w:type="dxa"/>
          </w:tcPr>
          <w:p w14:paraId="032F1ABF" w14:textId="55E78C19" w:rsidR="00AF62C0" w:rsidRPr="004529B1" w:rsidRDefault="00F515E0" w:rsidP="00AF62C0">
            <w:pPr>
              <w:rPr>
                <w:color w:val="1F3864" w:themeColor="accent1" w:themeShade="80"/>
              </w:rPr>
            </w:pPr>
            <w:r w:rsidRPr="004529B1">
              <w:rPr>
                <w:color w:val="1F3864" w:themeColor="accent1" w:themeShade="80"/>
              </w:rPr>
              <w:t>Licence conditions to require fish farmers to contribute to research to understand the migratory distributions of wild salmonids.</w:t>
            </w:r>
            <w:r w:rsidR="00274189">
              <w:rPr>
                <w:color w:val="1F3864" w:themeColor="accent1" w:themeShade="80"/>
              </w:rPr>
              <w:t xml:space="preserve"> This will contribute to</w:t>
            </w:r>
            <w:r w:rsidR="003E704B">
              <w:rPr>
                <w:color w:val="1F3864" w:themeColor="accent1" w:themeShade="80"/>
              </w:rPr>
              <w:t xml:space="preserve"> application of the precautionary principle through the planning and licensing framework.</w:t>
            </w:r>
          </w:p>
        </w:tc>
      </w:tr>
    </w:tbl>
    <w:p w14:paraId="36A08668" w14:textId="77777777" w:rsidR="004F3817" w:rsidRDefault="004F3817"/>
    <w:sectPr w:rsidR="004F38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4716" w14:textId="77777777" w:rsidR="00844748" w:rsidRDefault="00844748" w:rsidP="004F3817">
      <w:pPr>
        <w:spacing w:after="0" w:line="240" w:lineRule="auto"/>
      </w:pPr>
      <w:r>
        <w:separator/>
      </w:r>
    </w:p>
  </w:endnote>
  <w:endnote w:type="continuationSeparator" w:id="0">
    <w:p w14:paraId="0DF7AFE6" w14:textId="77777777" w:rsidR="00844748" w:rsidRDefault="00844748" w:rsidP="004F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DED5" w14:textId="77777777" w:rsidR="00844748" w:rsidRDefault="00844748" w:rsidP="004F3817">
      <w:pPr>
        <w:spacing w:after="0" w:line="240" w:lineRule="auto"/>
      </w:pPr>
      <w:r>
        <w:separator/>
      </w:r>
    </w:p>
  </w:footnote>
  <w:footnote w:type="continuationSeparator" w:id="0">
    <w:p w14:paraId="36D549F3" w14:textId="77777777" w:rsidR="00844748" w:rsidRDefault="00844748" w:rsidP="004F3817">
      <w:pPr>
        <w:spacing w:after="0" w:line="240" w:lineRule="auto"/>
      </w:pPr>
      <w:r>
        <w:continuationSeparator/>
      </w:r>
    </w:p>
  </w:footnote>
  <w:footnote w:id="1">
    <w:p w14:paraId="197F4EF0" w14:textId="2713C689" w:rsidR="00AF62C0" w:rsidRDefault="00AF62C0">
      <w:pPr>
        <w:pStyle w:val="FootnoteText"/>
      </w:pPr>
      <w:r>
        <w:rPr>
          <w:rStyle w:val="FootnoteReference"/>
        </w:rPr>
        <w:footnoteRef/>
      </w:r>
      <w:r>
        <w:t xml:space="preserve"> 0.1 lice per fish on a 500 tonne farm results in a </w:t>
      </w:r>
      <w:r w:rsidR="001B11DA">
        <w:t xml:space="preserve">significantly </w:t>
      </w:r>
      <w:r>
        <w:t xml:space="preserve">lower </w:t>
      </w:r>
      <w:r w:rsidR="001B11DA">
        <w:t xml:space="preserve">overall number of </w:t>
      </w:r>
      <w:r>
        <w:t>lice than 0.1 lice per fish on a 2500 tonne farm. This information is even more important when multiple farms are operating in a farm management area, as it is the relationship between the total number of fish being farmed, and the number of lice per fish, which wi</w:t>
      </w:r>
      <w:r w:rsidR="005E590E">
        <w:t>l</w:t>
      </w:r>
      <w:r>
        <w:t xml:space="preserve">l ultimately determine the magnitude of any impact on wild fish.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E609C"/>
    <w:multiLevelType w:val="hybridMultilevel"/>
    <w:tmpl w:val="F592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00B09"/>
    <w:multiLevelType w:val="hybridMultilevel"/>
    <w:tmpl w:val="10DE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17"/>
    <w:rsid w:val="000155BA"/>
    <w:rsid w:val="00020134"/>
    <w:rsid w:val="0005343B"/>
    <w:rsid w:val="000D37BD"/>
    <w:rsid w:val="000F3AEF"/>
    <w:rsid w:val="001044CC"/>
    <w:rsid w:val="001176BA"/>
    <w:rsid w:val="00177F92"/>
    <w:rsid w:val="001807E1"/>
    <w:rsid w:val="00190296"/>
    <w:rsid w:val="001969B9"/>
    <w:rsid w:val="00197F60"/>
    <w:rsid w:val="001B11DA"/>
    <w:rsid w:val="001B57C2"/>
    <w:rsid w:val="001B58B2"/>
    <w:rsid w:val="00202D66"/>
    <w:rsid w:val="00212917"/>
    <w:rsid w:val="002149C8"/>
    <w:rsid w:val="00222926"/>
    <w:rsid w:val="002255CD"/>
    <w:rsid w:val="00227B25"/>
    <w:rsid w:val="002313BE"/>
    <w:rsid w:val="00242249"/>
    <w:rsid w:val="00274189"/>
    <w:rsid w:val="00276C50"/>
    <w:rsid w:val="002844EA"/>
    <w:rsid w:val="00295805"/>
    <w:rsid w:val="002A64BB"/>
    <w:rsid w:val="002C1F58"/>
    <w:rsid w:val="002E5A6B"/>
    <w:rsid w:val="00355E7D"/>
    <w:rsid w:val="00383B3A"/>
    <w:rsid w:val="003907E3"/>
    <w:rsid w:val="003A10C7"/>
    <w:rsid w:val="003C295F"/>
    <w:rsid w:val="003C3C40"/>
    <w:rsid w:val="003C73AA"/>
    <w:rsid w:val="003D66B3"/>
    <w:rsid w:val="003E704B"/>
    <w:rsid w:val="00412F71"/>
    <w:rsid w:val="00414CAC"/>
    <w:rsid w:val="00431B75"/>
    <w:rsid w:val="00433609"/>
    <w:rsid w:val="00433828"/>
    <w:rsid w:val="004529B1"/>
    <w:rsid w:val="004C6239"/>
    <w:rsid w:val="004C721A"/>
    <w:rsid w:val="004E0E4C"/>
    <w:rsid w:val="004E264F"/>
    <w:rsid w:val="004F3817"/>
    <w:rsid w:val="0052654C"/>
    <w:rsid w:val="005367C3"/>
    <w:rsid w:val="0055213B"/>
    <w:rsid w:val="00555746"/>
    <w:rsid w:val="00557A4C"/>
    <w:rsid w:val="00562B30"/>
    <w:rsid w:val="00565372"/>
    <w:rsid w:val="00572531"/>
    <w:rsid w:val="00581275"/>
    <w:rsid w:val="005A4895"/>
    <w:rsid w:val="005E2F7B"/>
    <w:rsid w:val="005E590E"/>
    <w:rsid w:val="005F4544"/>
    <w:rsid w:val="00651CC0"/>
    <w:rsid w:val="00655905"/>
    <w:rsid w:val="006626A4"/>
    <w:rsid w:val="00674115"/>
    <w:rsid w:val="006A45F2"/>
    <w:rsid w:val="006B4D28"/>
    <w:rsid w:val="006C5FF2"/>
    <w:rsid w:val="006D5BAB"/>
    <w:rsid w:val="006F245E"/>
    <w:rsid w:val="00724E0D"/>
    <w:rsid w:val="0073560E"/>
    <w:rsid w:val="00763CD3"/>
    <w:rsid w:val="00764607"/>
    <w:rsid w:val="007667AA"/>
    <w:rsid w:val="00797D75"/>
    <w:rsid w:val="00802683"/>
    <w:rsid w:val="0080604C"/>
    <w:rsid w:val="00807A5A"/>
    <w:rsid w:val="008326E8"/>
    <w:rsid w:val="00844748"/>
    <w:rsid w:val="0087309A"/>
    <w:rsid w:val="008811FE"/>
    <w:rsid w:val="008B500A"/>
    <w:rsid w:val="008B7C3E"/>
    <w:rsid w:val="008C0FBB"/>
    <w:rsid w:val="008C625A"/>
    <w:rsid w:val="008E6B2D"/>
    <w:rsid w:val="00911715"/>
    <w:rsid w:val="00924B03"/>
    <w:rsid w:val="00965175"/>
    <w:rsid w:val="009768E6"/>
    <w:rsid w:val="00976EE8"/>
    <w:rsid w:val="0098780A"/>
    <w:rsid w:val="009B6813"/>
    <w:rsid w:val="009D389A"/>
    <w:rsid w:val="009F1E4C"/>
    <w:rsid w:val="00A013B6"/>
    <w:rsid w:val="00A1526D"/>
    <w:rsid w:val="00A310A4"/>
    <w:rsid w:val="00A3650A"/>
    <w:rsid w:val="00A3684D"/>
    <w:rsid w:val="00A54EDA"/>
    <w:rsid w:val="00A97AFE"/>
    <w:rsid w:val="00AA4BDB"/>
    <w:rsid w:val="00AD6721"/>
    <w:rsid w:val="00AE5344"/>
    <w:rsid w:val="00AE58F8"/>
    <w:rsid w:val="00AF0A0D"/>
    <w:rsid w:val="00AF62C0"/>
    <w:rsid w:val="00B26640"/>
    <w:rsid w:val="00B40AF0"/>
    <w:rsid w:val="00B54ED2"/>
    <w:rsid w:val="00B65A07"/>
    <w:rsid w:val="00B910DC"/>
    <w:rsid w:val="00BF7F86"/>
    <w:rsid w:val="00C50D31"/>
    <w:rsid w:val="00C57AAA"/>
    <w:rsid w:val="00C751B6"/>
    <w:rsid w:val="00CA265A"/>
    <w:rsid w:val="00CB4468"/>
    <w:rsid w:val="00CD5435"/>
    <w:rsid w:val="00CE19AD"/>
    <w:rsid w:val="00D10E60"/>
    <w:rsid w:val="00D248C4"/>
    <w:rsid w:val="00D57330"/>
    <w:rsid w:val="00D67104"/>
    <w:rsid w:val="00D85468"/>
    <w:rsid w:val="00D858EA"/>
    <w:rsid w:val="00D8762A"/>
    <w:rsid w:val="00DB098E"/>
    <w:rsid w:val="00DD68CE"/>
    <w:rsid w:val="00E06C54"/>
    <w:rsid w:val="00E41320"/>
    <w:rsid w:val="00E46981"/>
    <w:rsid w:val="00E54BEB"/>
    <w:rsid w:val="00E660F4"/>
    <w:rsid w:val="00EB2AA1"/>
    <w:rsid w:val="00EC5552"/>
    <w:rsid w:val="00EE2081"/>
    <w:rsid w:val="00F1139D"/>
    <w:rsid w:val="00F25C5E"/>
    <w:rsid w:val="00F271F7"/>
    <w:rsid w:val="00F34A9A"/>
    <w:rsid w:val="00F422E3"/>
    <w:rsid w:val="00F515E0"/>
    <w:rsid w:val="00F82998"/>
    <w:rsid w:val="00FD6CFF"/>
    <w:rsid w:val="00FE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0D12"/>
  <w15:chartTrackingRefBased/>
  <w15:docId w15:val="{B12A3DA1-6F38-4B86-BE61-530FB9D9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3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817"/>
    <w:rPr>
      <w:sz w:val="20"/>
      <w:szCs w:val="20"/>
    </w:rPr>
  </w:style>
  <w:style w:type="character" w:styleId="FootnoteReference">
    <w:name w:val="footnote reference"/>
    <w:basedOn w:val="DefaultParagraphFont"/>
    <w:uiPriority w:val="99"/>
    <w:semiHidden/>
    <w:unhideWhenUsed/>
    <w:rsid w:val="004F3817"/>
    <w:rPr>
      <w:vertAlign w:val="superscript"/>
    </w:rPr>
  </w:style>
  <w:style w:type="paragraph" w:styleId="BalloonText">
    <w:name w:val="Balloon Text"/>
    <w:basedOn w:val="Normal"/>
    <w:link w:val="BalloonTextChar"/>
    <w:uiPriority w:val="99"/>
    <w:semiHidden/>
    <w:unhideWhenUsed/>
    <w:rsid w:val="0076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07"/>
    <w:rPr>
      <w:rFonts w:ascii="Segoe UI" w:hAnsi="Segoe UI" w:cs="Segoe UI"/>
      <w:sz w:val="18"/>
      <w:szCs w:val="18"/>
    </w:rPr>
  </w:style>
  <w:style w:type="paragraph" w:styleId="ListParagraph">
    <w:name w:val="List Paragraph"/>
    <w:basedOn w:val="Normal"/>
    <w:uiPriority w:val="34"/>
    <w:qFormat/>
    <w:rsid w:val="00EB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C6A8AF7E8B6469D896F951DD510E2" ma:contentTypeVersion="14" ma:contentTypeDescription="Create a new document." ma:contentTypeScope="" ma:versionID="f499fdff0eb35447f4eb5214ee00a396">
  <xsd:schema xmlns:xsd="http://www.w3.org/2001/XMLSchema" xmlns:xs="http://www.w3.org/2001/XMLSchema" xmlns:p="http://schemas.microsoft.com/office/2006/metadata/properties" xmlns:ns2="a886e3fb-41ea-4908-a298-c55ab212b7e6" xmlns:ns3="8fe11f05-5a62-40cc-b153-2ca4c21ae6a3" targetNamespace="http://schemas.microsoft.com/office/2006/metadata/properties" ma:root="true" ma:fieldsID="22d69e1648f5953343c9b3c387e32030" ns2:_="" ns3:_="">
    <xsd:import namespace="a886e3fb-41ea-4908-a298-c55ab212b7e6"/>
    <xsd:import namespace="8fe11f05-5a62-40cc-b153-2ca4c21ae6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6e3fb-41ea-4908-a298-c55ab212b7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e11f05-5a62-40cc-b153-2ca4c21ae6a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5CC9-1682-4E9F-97AC-092F3F3AB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90E7A-9D44-4302-BAC6-C07F8FF3D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6e3fb-41ea-4908-a298-c55ab212b7e6"/>
    <ds:schemaRef ds:uri="8fe11f05-5a62-40cc-b153-2ca4c21a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DE646-37C0-4683-BA8A-7B47D0400698}">
  <ds:schemaRefs>
    <ds:schemaRef ds:uri="http://schemas.microsoft.com/sharepoint/v3/contenttype/forms"/>
  </ds:schemaRefs>
</ds:datastoreItem>
</file>

<file path=customXml/itemProps4.xml><?xml version="1.0" encoding="utf-8"?>
<ds:datastoreItem xmlns:ds="http://schemas.openxmlformats.org/officeDocument/2006/customXml" ds:itemID="{5F96D761-496B-4603-B8A9-AF379D1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Wells</dc:creator>
  <cp:keywords/>
  <dc:description/>
  <cp:lastModifiedBy>Alan Wells</cp:lastModifiedBy>
  <cp:revision>138</cp:revision>
  <dcterms:created xsi:type="dcterms:W3CDTF">2020-05-05T06:39:00Z</dcterms:created>
  <dcterms:modified xsi:type="dcterms:W3CDTF">2020-05-08T15:56:00Z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0x010100498C6A8AF7E8B6469D896F951DD510E2</vt:lpwstr>
  </property>
</Properties>
</file>